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bcc290cef4597" /></Relationships>
</file>

<file path=word/document.xml><?xml version="1.0" encoding="utf-8"?>
<w:document xmlns:w="http://schemas.openxmlformats.org/wordprocessingml/2006/main">
  <w:body>
    <w:p>
      <w:r>
        <w:t>S-1958.4</w:t>
      </w:r>
    </w:p>
    <w:p>
      <w:pPr>
        <w:jc w:val="center"/>
      </w:pPr>
      <w:r>
        <w:t>_______________________________________________</w:t>
      </w:r>
    </w:p>
    <w:p/>
    <w:p>
      <w:pPr>
        <w:jc w:val="center"/>
      </w:pPr>
      <w:r>
        <w:rPr>
          <w:b/>
        </w:rPr>
        <w:t>SENATE BILL 5785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students' share of the education costs at institutions of higher education; amending RCW 28B.15.067; reenacting and amending RCW 28B.92.200 and 43.88C.010; adding a new section to chapter 28B.92 RCW; repealing RCW 28B.92.205;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2023 c 9 s 1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w:t>
      </w:r>
      <w:r>
        <w:rPr>
          <w:u w:val="single"/>
        </w:rPr>
        <w:t xml:space="preserve">(a)</w:t>
      </w:r>
      <w:r>
        <w:rPr/>
        <w:t xml:space="preserve"> The maximum increase in tuition operating fees for resident undergraduates at institutions of higher education as defined in RCW 28B.10.016</w:t>
      </w:r>
      <w:r>
        <w:t>((</w:t>
      </w:r>
      <w:r>
        <w:rPr>
          <w:strike/>
        </w:rPr>
        <w:t xml:space="preserve">, excluding applied baccalaureate degrees as defined in RCW 28B.50.030,</w:t>
      </w:r>
      <w:r>
        <w:t>))</w:t>
      </w:r>
      <w:r>
        <w:rPr/>
        <w:t xml:space="preserve"> shall be calculated by the office of financial management and transmitted to the institutions of higher education by October 1st of each year for the following academic year. </w:t>
      </w:r>
      <w:r>
        <w:t>((</w:t>
      </w:r>
      <w:r>
        <w:rPr>
          <w:strike/>
        </w:rPr>
        <w:t xml:space="preserve">Tuition</w:t>
      </w:r>
      <w:r>
        <w:t>))</w:t>
      </w:r>
      <w:r>
        <w:rPr/>
        <w:t xml:space="preserve"> </w:t>
      </w:r>
      <w:r>
        <w:rPr>
          <w:u w:val="single"/>
        </w:rPr>
        <w:t xml:space="preserve">Except as provided in (b) and (c) of this subsection, tuition</w:t>
      </w:r>
      <w:r>
        <w:rPr/>
        <w:t xml:space="preserve"> operating fees for resident undergraduates at institutions of higher education as defined in RCW 28B.10.016</w:t>
      </w:r>
      <w:r>
        <w:t>((</w:t>
      </w:r>
      <w:r>
        <w:rPr>
          <w:strike/>
        </w:rPr>
        <w:t xml:space="preserve">, excluding applied baccalaureate degrees as defined in RCW 28B.50.030,</w:t>
      </w:r>
      <w:r>
        <w:t>))</w:t>
      </w:r>
      <w:r>
        <w:rPr/>
        <w:t xml:space="preserve"> may increase by no more than the average annual percentage growth rate in the median hourly wage for Washington as the wage is determined by the federal bureau of labor statistics and calculated based on the previous 14 years prior to the transmittal date by the office of financial management.</w:t>
      </w:r>
    </w:p>
    <w:p>
      <w:pPr>
        <w:spacing w:before="0" w:after="0" w:line="408" w:lineRule="exact"/>
        <w:ind w:left="0" w:right="0" w:firstLine="576"/>
        <w:jc w:val="left"/>
      </w:pPr>
      <w:r>
        <w:rPr>
          <w:u w:val="single"/>
        </w:rPr>
        <w:t xml:space="preserve">(b) In the 2026-27 academic year, the tuition operating fees for resident undergraduates at the community and technical colleges may increase by no more than five percent above the tuition growth factor calculated by the office of financial management in (a) of this subsection. Within the limitations of this subsection, tuition operating fees may only increase to the extent necessary to operate within the appropriations from the general fund and related funds, as defined in RCW 43.88.055, for fiscal year 2027 in the 2025-2027 omnibus operating appropriations act.</w:t>
      </w:r>
    </w:p>
    <w:p>
      <w:pPr>
        <w:spacing w:before="0" w:after="0" w:line="408" w:lineRule="exact"/>
        <w:ind w:left="0" w:right="0" w:firstLine="576"/>
        <w:jc w:val="left"/>
      </w:pPr>
      <w:r>
        <w:rPr>
          <w:u w:val="single"/>
        </w:rPr>
        <w:t xml:space="preserve">(c) In the 2026-27 academic year, the tuition operating fees for resident undergraduates at the state universities, regional universities, and The Evergreen State College may increase by no more than five percent above the tuition growth factor calculated by the office of financial management in (a) of this subsection. Within the limitations of this subsection, tuition operating fees may only increase to the extent necessary to support employee compensation costs and to operate within the appropriations from the general fund and related funds, as defined in RCW 43.88.055, for fiscal year 2027 in the 2025-2027 omnibus operating appropriations act.</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(a) Except as provided in (b) and (c) of this subsection, the</w:t>
      </w:r>
      <w:r>
        <w:rPr/>
        <w:t xml:space="preserv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u w:val="single"/>
        </w:rPr>
        <w:t xml:space="preserve">(b) In the 2026-27 academic year, the tuition operating fees for nonresident undergraduates at the community and technical colleges may increase to the extent necessary to operate within the appropriations from the general fund and related funds, as defined in RCW 43.88.055, for fiscal year 2027 in the 2025-2027 omnibus operating appropriations act.</w:t>
      </w:r>
    </w:p>
    <w:p>
      <w:pPr>
        <w:spacing w:before="0" w:after="0" w:line="408" w:lineRule="exact"/>
        <w:ind w:left="0" w:right="0" w:firstLine="576"/>
        <w:jc w:val="left"/>
      </w:pPr>
      <w:r>
        <w:rPr>
          <w:u w:val="single"/>
        </w:rPr>
        <w:t xml:space="preserve">(c) In the 2026-27 academic year, the tuition operating fees for nonresident undergraduates at the state universities, regional universities, and The Evergreen State College may increase to the extent necessary to support employee compensation costs and to operate within the appropriations from the general fund and related funds, as defined in RCW 43.88.055, for fiscal year 2027 in the 2025-2027 omnibus operating appropriations act.</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(5)(a)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addition to other eligibility requirements outlined in this chapter, students whose annual household income is at or below 65 percent of the annual state median income are eligible to receive the Washington college grant. The amount a student may receive of the Washington college grant is dependent on the household's annual income, adjusted for household size, and the difference in the household's annual share of higher education costs provided in this section and the maximum Washington college grant. Beginning with academic year 2026-27, the office must calculate a household's annual share of higher education costs as follows:</w:t>
      </w:r>
    </w:p>
    <w:tbl>
      <w:tblPr>
        <w:tblW w:w="0" w:type="auto"/>
        <w:jc w:val="center"/>
        <w:tcMar>
          <w:tblCellMar>
            <w:top w:w="0" w:type="dxa"/>
          </w:tblCellMar>
        </w:tcMar>
        <w:tcMar>
          <w:tblCellMar>
            <w:left w:w="70" w:type="dxa"/>
            <w:right w:w="70" w:type="dxa"/>
          </w:tblCellMar>
        </w:tcMar>
      </w:tblPr>
      <w:tblGrid>
        <w:gridCol w:w="4460"/>
        <w:gridCol w:w="5700"/>
      </w:tblGrid>
      <w:tr>
        <w:tc>
          <w:tcPr>
            <w:tcW w:w="44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annual income, adjusted for household size, is:</w:t>
            </w:r>
          </w:p>
        </w:tc>
        <w:tc>
          <w:tcPr>
            <w:tcW w:w="570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annual share of higher education costs, based on a household of two, are:</w:t>
            </w:r>
          </w:p>
        </w:tc>
      </w:tr>
      <w:tr>
        <w:tc>
          <w:tcPr>
            <w:tcW w:w="44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Below 25 percent of the state median income</w:t>
            </w:r>
          </w:p>
        </w:tc>
        <w:tc>
          <w:tcPr>
            <w:tcW w:w="570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44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25 percent and below 35 percent of the state median income</w:t>
            </w:r>
          </w:p>
        </w:tc>
        <w:tc>
          <w:tcPr>
            <w:tcW w:w="570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 of the state median income for a household of two, multiplied by 5 percent</w:t>
            </w:r>
          </w:p>
        </w:tc>
      </w:tr>
      <w:tr>
        <w:tc>
          <w:tcPr>
            <w:tcW w:w="44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35 percent and below 45 percent of the state median income</w:t>
            </w:r>
          </w:p>
        </w:tc>
        <w:tc>
          <w:tcPr>
            <w:tcW w:w="570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 percent of the state median income for a household of two, multiplied by 5.5 percent</w:t>
            </w:r>
          </w:p>
        </w:tc>
      </w:tr>
      <w:tr>
        <w:tc>
          <w:tcPr>
            <w:tcW w:w="44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45 percent and below 55 percent of the state median income</w:t>
            </w:r>
          </w:p>
        </w:tc>
        <w:tc>
          <w:tcPr>
            <w:tcW w:w="570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 percent of the state median income for a household of two, multiplied by 6 percent</w:t>
            </w:r>
          </w:p>
        </w:tc>
      </w:tr>
      <w:tr>
        <w:tc>
          <w:tcPr>
            <w:tcW w:w="44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55 percent and at or below 65 percent of the state median income</w:t>
            </w:r>
          </w:p>
        </w:tc>
        <w:tc>
          <w:tcPr>
            <w:tcW w:w="570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 percent of the state median income for a household of two, multiplied by 6.5 percent</w:t>
            </w:r>
          </w:p>
        </w:tc>
      </w:tr>
    </w:tbl>
    <w:p>
      <w:pPr>
        <w:spacing w:before="120" w:after="0" w:line="408" w:lineRule="exact"/>
        <w:ind w:left="0" w:right="0" w:firstLine="576"/>
        <w:jc w:val="left"/>
      </w:pPr>
      <w:r>
        <w:rPr/>
        <w:t xml:space="preserve">(2) If the household's calculated share exceeds the maximum Washington college grant award, no award may be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2024 c 323 s 1 and 2024 c 116 s 1 are each reenacted and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w:t>
      </w:r>
      <w:r>
        <w:t>((</w:t>
      </w:r>
      <w:r>
        <w:rPr>
          <w:strike/>
        </w:rPr>
        <w:t xml:space="preserve">under RCW 28B.92.205</w:t>
      </w:r>
      <w:r>
        <w:t>))</w:t>
      </w:r>
      <w:r>
        <w:rPr/>
        <w:t xml:space="preserve"> </w:t>
      </w:r>
      <w:r>
        <w:rPr>
          <w:u w:val="single"/>
        </w:rPr>
        <w:t xml:space="preserve">by establishing that their household income qualifies under section 2 of this act</w:t>
      </w:r>
      <w:r>
        <w:rPr/>
        <w:t xml:space="preserve">;</w:t>
      </w:r>
    </w:p>
    <w:p>
      <w:pPr>
        <w:spacing w:before="0" w:after="0" w:line="408" w:lineRule="exact"/>
        <w:ind w:left="0" w:right="0" w:firstLine="576"/>
        <w:jc w:val="left"/>
      </w:pPr>
      <w:r>
        <w:rPr/>
        <w:t xml:space="preserve">(ii) Receive one or more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w:t>
      </w:r>
      <w:r>
        <w:t>((</w:t>
      </w:r>
      <w:r>
        <w:rPr>
          <w:strike/>
        </w:rPr>
        <w:t xml:space="preserve">or</w:t>
      </w:r>
      <w:r>
        <w:t>))</w:t>
      </w:r>
    </w:p>
    <w:p>
      <w:pPr>
        <w:spacing w:before="0" w:after="0" w:line="408" w:lineRule="exact"/>
        <w:ind w:left="0" w:right="0" w:firstLine="576"/>
        <w:jc w:val="left"/>
      </w:pPr>
      <w:r>
        <w:rPr/>
        <w:t xml:space="preserve">(iii) Be a Washington high school student in the 10th, 11th, or 12th grade whose parent or legal guardian is receiving one or more of the types of public assistance listed in (a)(ii) of this subsection and have received a certificate confirming eligibility from the office in accordance with RCW 28B.92.225; or</w:t>
      </w:r>
    </w:p>
    <w:p>
      <w:pPr>
        <w:spacing w:before="0" w:after="0" w:line="408" w:lineRule="exact"/>
        <w:ind w:left="0" w:right="0" w:firstLine="576"/>
        <w:jc w:val="left"/>
      </w:pPr>
      <w:r>
        <w:rPr/>
        <w:t xml:space="preserve">(iv) Beginning in the 2025-26 academic year, be a Washington high school student in the 10th, 11th, or 12th grade who is a member of an assistance unit receiving benefits under the Washington basic food program in chapter 74.04 RCW or the Washington food assistance program established under RCW 74.08A.120;</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six years or 150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2023 c 420 s 4, 2023 c 345 s 1, and 2023 c 244 s 1 are each reenacted and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w:t>
      </w:r>
      <w:r>
        <w:t>((</w:t>
      </w:r>
      <w:r>
        <w:rPr>
          <w:strike/>
        </w:rPr>
        <w:t xml:space="preserve">28B.92.205</w:t>
      </w:r>
      <w:r>
        <w:t>))</w:t>
      </w:r>
      <w:r>
        <w:rPr/>
        <w:t xml:space="preserve"> </w:t>
      </w:r>
      <w:r>
        <w:rPr>
          <w:u w:val="single"/>
        </w:rPr>
        <w:t xml:space="preserve">section 2 of this act</w:t>
      </w:r>
      <w:r>
        <w:rPr/>
        <w:t xml:space="preserve"> and are expected to attend an institution of higher education as defined in RCW 28B.92.030;</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 and</w:t>
      </w:r>
    </w:p>
    <w:p>
      <w:pPr>
        <w:spacing w:before="0" w:after="0" w:line="408" w:lineRule="exact"/>
        <w:ind w:left="0" w:right="0" w:firstLine="576"/>
        <w:jc w:val="left"/>
      </w:pPr>
      <w:r>
        <w:rPr/>
        <w:t xml:space="preserve">(e) Beginning with the first official forecast after July 23, 2023, the number of people eligible for the working families' tax credit under RCW 82.08.0206. The total number of people eligible for the working families' tax credit should include:</w:t>
      </w:r>
    </w:p>
    <w:p>
      <w:pPr>
        <w:spacing w:before="0" w:after="0" w:line="408" w:lineRule="exact"/>
        <w:ind w:left="0" w:right="0" w:firstLine="576"/>
        <w:jc w:val="left"/>
      </w:pPr>
      <w:r>
        <w:rPr/>
        <w:t xml:space="preserve">(i) The number of eligible people with no qualifying children;</w:t>
      </w:r>
    </w:p>
    <w:p>
      <w:pPr>
        <w:spacing w:before="0" w:after="0" w:line="408" w:lineRule="exact"/>
        <w:ind w:left="0" w:right="0" w:firstLine="576"/>
        <w:jc w:val="left"/>
      </w:pPr>
      <w:r>
        <w:rPr/>
        <w:t xml:space="preserve">(ii) The number of eligible people with one qualifying child;</w:t>
      </w:r>
    </w:p>
    <w:p>
      <w:pPr>
        <w:spacing w:before="0" w:after="0" w:line="408" w:lineRule="exact"/>
        <w:ind w:left="0" w:right="0" w:firstLine="576"/>
        <w:jc w:val="left"/>
      </w:pPr>
      <w:r>
        <w:rPr/>
        <w:t xml:space="preserve">(iii) The number of eligible people with two qualifying children; and</w:t>
      </w:r>
    </w:p>
    <w:p>
      <w:pPr>
        <w:spacing w:before="0" w:after="0" w:line="408" w:lineRule="exact"/>
        <w:ind w:left="0" w:right="0" w:firstLine="576"/>
        <w:jc w:val="left"/>
      </w:pPr>
      <w:r>
        <w:rPr/>
        <w:t xml:space="preserve">(iv) The number of eligible people with three or more qualifying children.</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The caseload forecast council shall forecast the number of individuals who are functionally and financially eligible for medicaid waiver services administered by the developmental disabilities administration who also meet the criteria outlined in RCW 71A.12.370 and are expected to utilize a medicaid waiver service.</w:t>
      </w:r>
    </w:p>
    <w:p>
      <w:pPr>
        <w:spacing w:before="0" w:after="0" w:line="408" w:lineRule="exact"/>
        <w:ind w:left="0" w:right="0" w:firstLine="576"/>
        <w:jc w:val="left"/>
      </w:pPr>
      <w:r>
        <w:rPr/>
        <w:t xml:space="preserve">(15) The caseload forecast council shall forecast eligible children participating in the transition to kindergarten program under RCW 28A.300.072.</w:t>
      </w:r>
    </w:p>
    <w:p>
      <w:pPr>
        <w:spacing w:before="0" w:after="0" w:line="408" w:lineRule="exact"/>
        <w:ind w:left="0" w:right="0" w:firstLine="576"/>
        <w:jc w:val="left"/>
      </w:pPr>
      <w:r>
        <w:rPr/>
        <w:t xml:space="preserve">(16) Unless the context clearly requires otherwise, the definitions provided in RCW 43.88.020 apply to this chapter.</w:t>
      </w:r>
    </w:p>
    <w:p>
      <w:pPr>
        <w:spacing w:before="0" w:after="0" w:line="408" w:lineRule="exact"/>
        <w:ind w:left="0" w:right="0" w:firstLine="576"/>
        <w:jc w:val="left"/>
      </w:pPr>
      <w:r>
        <w:rPr/>
        <w:t xml:space="preserve">(17)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(Washington college grant program</w:t>
      </w:r>
      <w:r>
        <w:rPr>
          <w:rFonts w:ascii="Times New Roman" w:hAnsi="Times New Roman"/>
        </w:rPr>
        <w:t xml:space="preserve">—</w:t>
      </w:r>
      <w:r>
        <w:rPr/>
        <w:t xml:space="preserve">Financial need) and 2023 c 475 s 923, 2022 c 297 s 949, &amp; 2019 c 406 s 20, as now existing or hereafter amended, are each repealed, effective September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July 1, 2026.</w:t>
      </w:r>
    </w:p>
    <w:p/>
    <w:p>
      <w:pPr>
        <w:jc w:val="center"/>
      </w:pPr>
      <w:r>
        <w:rPr>
          <w:b/>
        </w:rPr>
        <w:t>--- END ---</w:t>
      </w:r>
    </w:p>
    <w:sectPr>
      <w:pgNumType w:start="1"/>
      <w:footerReference xmlns:r="http://schemas.openxmlformats.org/officeDocument/2006/relationships" r:id="Rddec271100b249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1252f245c3446c" /><Relationship Type="http://schemas.openxmlformats.org/officeDocument/2006/relationships/footer" Target="/word/footer1.xml" Id="Rddec271100b24943" /></Relationships>
</file>