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deace8b8c463c" /></Relationships>
</file>

<file path=word/document.xml><?xml version="1.0" encoding="utf-8"?>
<w:document xmlns:w="http://schemas.openxmlformats.org/wordprocessingml/2006/main">
  <w:body>
    <w:p>
      <w:r>
        <w:t>S-1316.1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5723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Senator Cortes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covenants, conditions, and restrictions of an airpark; adding a new section to chapter 35.21 RCW; and adding a new section to chapter 35A.21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35</w:t>
      </w:r>
      <w:r>
        <w:rPr/>
        <w:t xml:space="preserve">.</w:t>
      </w:r>
      <w:r>
        <w:t xml:space="preserve">21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Property owned by a city is not subject to existing covenants, conditions, and restrictions of an airpark that are more restrictive than the zoning ordinance in the city.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35A</w:t>
      </w:r>
      <w:r>
        <w:rPr/>
        <w:t xml:space="preserve">.</w:t>
      </w:r>
      <w:r>
        <w:t xml:space="preserve">21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Property owned by a code city is not subject to existing covenants, conditions, and restrictions of an airpark that are more restrictive than the zoning ordinance in the code city.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30b8e5ecd96c498e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5723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20265b8d5448a" /><Relationship Type="http://schemas.openxmlformats.org/officeDocument/2006/relationships/footer" Target="/word/footer1.xml" Id="R30b8e5ecd96c498e" /></Relationships>
</file>