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fe635618c44dc5" /></Relationships>
</file>

<file path=word/document.xml><?xml version="1.0" encoding="utf-8"?>
<w:document xmlns:w="http://schemas.openxmlformats.org/wordprocessingml/2006/main">
  <w:body>
    <w:p>
      <w:r>
        <w:t>S-1293.1</w:t>
      </w:r>
    </w:p>
    <w:p>
      <w:pPr>
        <w:jc w:val="center"/>
      </w:pPr>
      <w:r>
        <w:t>_______________________________________________</w:t>
      </w:r>
    </w:p>
    <w:p/>
    <w:p>
      <w:pPr>
        <w:jc w:val="center"/>
      </w:pPr>
      <w:r>
        <w:rPr>
          <w:b/>
        </w:rPr>
        <w:t>SENATE BILL 5717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King, Braun, Chapman, Cleveland, Cortes, Hasegawa, Liias, Lovelett, Nobles, Orwall, Valdez, and J. Wilson</w:t>
      </w:r>
    </w:p>
    <w:p/>
    <w:p>
      <w:r>
        <w:rPr>
          <w:t xml:space="preserve">Read first time 02/10/25.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driver work zone and first responder safety course requirement; amending RCW 46.20.075 and 46.63.200; adding a new section to chapter 46.20 RCW; adding a new section to chapter 43.59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applicant for a new driver's license under the age of 26 must pass an online course approved by the department on driver work zone and first responder safety.</w:t>
      </w:r>
    </w:p>
    <w:p>
      <w:pPr>
        <w:spacing w:before="0" w:after="0" w:line="408" w:lineRule="exact"/>
        <w:ind w:left="0" w:right="0" w:firstLine="576"/>
        <w:jc w:val="left"/>
      </w:pPr>
      <w:r>
        <w:rPr/>
        <w:t xml:space="preserve">(2) The department may waive the requirement in subsection (1) of this section if the department finds the online course is not available at the time of application.</w:t>
      </w:r>
    </w:p>
    <w:p>
      <w:pPr>
        <w:spacing w:before="0" w:after="0" w:line="408" w:lineRule="exact"/>
        <w:ind w:left="0" w:right="0" w:firstLine="576"/>
        <w:jc w:val="left"/>
      </w:pPr>
      <w:r>
        <w:rPr/>
        <w:t xml:space="preserve">(3) For the purposes of this section, "new driver's license" means a driver's license issued to a driver who has not previously been issued a driver's license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2024 c 162 s 1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16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w:t>
      </w:r>
      <w:r>
        <w:rPr>
          <w:u w:val="single"/>
        </w:rPr>
        <w:t xml:space="preserve">Have met the applicable driver work zone and first responder safety course requirement under section 1 of this act;</w:t>
      </w:r>
    </w:p>
    <w:p>
      <w:pPr>
        <w:spacing w:before="0" w:after="0" w:line="408" w:lineRule="exact"/>
        <w:ind w:left="0" w:right="0" w:firstLine="576"/>
        <w:jc w:val="left"/>
      </w:pPr>
      <w:r>
        <w:rPr>
          <w:u w:val="single"/>
        </w:rPr>
        <w:t xml:space="preserve">(e)</w:t>
      </w:r>
      <w:r>
        <w:rPr/>
        <w:t xml:space="preserve"> Present certification by his or her parent, guardian, employer, or responsible adult to the department stating (i) that the applicant has had at least 50 hours of driving experience, 10 of which were at night, during which the driver was supervised by a person at least 21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18 years of age, whichever occurs first, the holder of the license may not operate a motor vehicle that is carrying any passengers under the age of 20 who are not members of the holder's immediate family. For the remaining period of the intermediate license, the holder may not operate a motor vehicle that is carrying more than three passengers who are under the age of 20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(a) when the holder is accompanied by a licensed driver who is at least 25 years of age, or (b) for school, religious, or employment activities for the holder or a member of the holder's immediate family as defined in this section.</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12-month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t xml:space="preserve">(9) For the purposes of this section, the following definitions apply:</w:t>
      </w:r>
    </w:p>
    <w:p>
      <w:pPr>
        <w:spacing w:before="0" w:after="0" w:line="408" w:lineRule="exact"/>
        <w:ind w:left="0" w:right="0" w:firstLine="576"/>
        <w:jc w:val="left"/>
      </w:pPr>
      <w:r>
        <w:rPr/>
        <w:t xml:space="preserve">(a) "Immediate family" means an individual's spouse or domestic partner, child, stepchild, grandchild, parent, stepparent, grandparent, brother, half-brother, sister, or half-sister of the individual, including foster children living in the household, and the spouse or the domestic partner of any such person, and a child, stepchild, grandchild, parent, stepparent, grandparent, brother, half-brother, sister, or half-sister of the individual's spouse or domestic partner, and the spouse or the domestic partner of any such person.</w:t>
      </w:r>
    </w:p>
    <w:p>
      <w:pPr>
        <w:spacing w:before="0" w:after="0" w:line="408" w:lineRule="exact"/>
        <w:ind w:left="0" w:right="0" w:firstLine="576"/>
        <w:jc w:val="left"/>
      </w:pPr>
      <w:r>
        <w:rPr/>
        <w:t xml:space="preserve">(b) "Responsible adult" means a person specifically authorized by the department who is over the age of 21 and:</w:t>
      </w:r>
    </w:p>
    <w:p>
      <w:pPr>
        <w:spacing w:before="0" w:after="0" w:line="408" w:lineRule="exact"/>
        <w:ind w:left="0" w:right="0" w:firstLine="576"/>
        <w:jc w:val="left"/>
      </w:pPr>
      <w:r>
        <w:rPr/>
        <w:t xml:space="preserve">(i) Has a familial, kinship, or caretaker relationship to a minor;</w:t>
      </w:r>
    </w:p>
    <w:p>
      <w:pPr>
        <w:spacing w:before="0" w:after="0" w:line="408" w:lineRule="exact"/>
        <w:ind w:left="0" w:right="0" w:firstLine="576"/>
        <w:jc w:val="left"/>
      </w:pPr>
      <w:r>
        <w:rPr/>
        <w:t xml:space="preserve">(ii) Is an educational, medical, legal, social service, or Washington state licensed mental health professional who provides support directly to a minor in a professional capacity; or</w:t>
      </w:r>
    </w:p>
    <w:p>
      <w:pPr>
        <w:spacing w:before="0" w:after="0" w:line="408" w:lineRule="exact"/>
        <w:ind w:left="0" w:right="0" w:firstLine="576"/>
        <w:jc w:val="left"/>
      </w:pPr>
      <w:r>
        <w:rPr/>
        <w:t xml:space="preserve">(iii) Is an employee of a government entity and provides support to a minor in a professional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commission is required to contract with a provider of an online driver work zone and first responder safety course to host an online course that satisfies the intermediate driver's license requirement under section 1 of this act to be made available at no cost to Washington residents who are between the ages of 15 and 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200</w:t>
      </w:r>
      <w:r>
        <w:rPr/>
        <w:t xml:space="preserve"> and 2024 c 308 s 4 are each amended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 (a),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the mailing of notices of infraction, and the development and maintenance of a public-facing website for the purpose of educating the traveling public about the use of speed safety camera systems in state highway work zones. Prior to the use of a speed safety camera system to capture a violation established in this section for enforcement purposes, the department of transportation, in consultation with the Washington state patrol,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Prior to the use of a speed safety camera system to capture a violation established in this section for enforcement purposes, the Washington state patrol, in consultation with the department of transportation,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(4)(a) No person may drive a vehicle in a state highway work zone at a speed greater than that allowed by traffic control devices.</w:t>
      </w:r>
    </w:p>
    <w:p>
      <w:pPr>
        <w:spacing w:before="0" w:after="0" w:line="408" w:lineRule="exact"/>
        <w:ind w:left="0" w:right="0" w:firstLine="576"/>
        <w:jc w:val="left"/>
      </w:pPr>
      <w:r>
        <w:rPr/>
        <w:t xml:space="preserve">(b) A notice of infraction may only be issued under this section if a speed safety camera system captures a speed violation in a state highway work zone when workers are present.</w:t>
      </w:r>
    </w:p>
    <w:p>
      <w:pPr>
        <w:spacing w:before="0" w:after="0" w:line="408" w:lineRule="exact"/>
        <w:ind w:left="0" w:right="0" w:firstLine="576"/>
        <w:jc w:val="left"/>
      </w:pPr>
      <w:r>
        <w:rPr/>
        <w:t xml:space="preserve">(5) The penalty for a speed safety camera system violation is: (a) $0 for the first violation; and (b) $248 for the second violation, and for each violation thereafter.</w:t>
      </w:r>
    </w:p>
    <w:p>
      <w:pPr>
        <w:spacing w:before="0" w:after="0" w:line="408" w:lineRule="exact"/>
        <w:ind w:left="0" w:right="0" w:firstLine="576"/>
        <w:jc w:val="left"/>
      </w:pPr>
      <w:r>
        <w:rPr/>
        <w:t xml:space="preserve">(6) During the 30-day period after the first speed safety camera system is put in place, the department is required to conduct a public awareness campaign to inform the public of the use of speed safety camera systems in state highway work zones.</w:t>
      </w:r>
    </w:p>
    <w:p>
      <w:pPr>
        <w:spacing w:before="0" w:after="0" w:line="408" w:lineRule="exact"/>
        <w:ind w:left="0" w:right="0" w:firstLine="576"/>
        <w:jc w:val="left"/>
      </w:pPr>
      <w:r>
        <w:rPr/>
        <w:t xml:space="preserve">(7)(a) A notice of infraction issued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w:t>
      </w:r>
    </w:p>
    <w:p>
      <w:pPr>
        <w:spacing w:before="0" w:after="0" w:line="408" w:lineRule="exact"/>
        <w:ind w:left="0" w:right="0" w:firstLine="576"/>
        <w:jc w:val="left"/>
      </w:pPr>
      <w:r>
        <w:rPr/>
        <w:t xml:space="preserve">(b) A notice of infraction represents a determination that an infraction has been committed, and the determination will be final unless contested as provided under this section.</w:t>
      </w:r>
    </w:p>
    <w:p>
      <w:pPr>
        <w:spacing w:before="0" w:after="0" w:line="408" w:lineRule="exact"/>
        <w:ind w:left="0" w:right="0" w:firstLine="576"/>
        <w:jc w:val="left"/>
      </w:pPr>
      <w:r>
        <w:rPr/>
        <w:t xml:space="preserve">(c) A person receiving a notice of infraction based on evidence detected by a speed safety camera system must, within 30 days of receiving the notice of infraction: (i) Except for a first violation under subsection (5)(a) of this section, remit payment in the amount of the penalty assessed for the violation; (ii) contest the determination that the infraction occurred by following the instructions on the notice of infraction; or (iii) admit to the infraction but request a hearing to explain mitigating circumstances surrounding the infraction.</w:t>
      </w:r>
    </w:p>
    <w:p>
      <w:pPr>
        <w:spacing w:before="0" w:after="0" w:line="408" w:lineRule="exact"/>
        <w:ind w:left="0" w:right="0" w:firstLine="576"/>
        <w:jc w:val="left"/>
      </w:pPr>
      <w:r>
        <w:rPr/>
        <w:t xml:space="preserve">(d) If a person fails to respond to a notice of infraction, a final order shall be entered finding that the person committed the infraction and assessing monetary penalties required under subsection (5)(b) of this section.</w:t>
      </w:r>
    </w:p>
    <w:p>
      <w:pPr>
        <w:spacing w:before="0" w:after="0" w:line="408" w:lineRule="exact"/>
        <w:ind w:left="0" w:right="0" w:firstLine="576"/>
        <w:jc w:val="left"/>
      </w:pPr>
      <w:r>
        <w:rPr/>
        <w:t xml:space="preserve">(e) If a person contests the determination that the infraction occurred or requests a mitigation hearing, the notice of infraction shall be referred to the office of administrative hearings for adjudication consistent with chapter 34.05 RCW.</w:t>
      </w:r>
    </w:p>
    <w:p>
      <w:pPr>
        <w:spacing w:before="0" w:after="0" w:line="408" w:lineRule="exact"/>
        <w:ind w:left="0" w:right="0" w:firstLine="576"/>
        <w:jc w:val="left"/>
      </w:pPr>
      <w:r>
        <w:rPr/>
        <w:t xml:space="preserve">(f) At a hearing to contest an infraction, the agency issuing the infraction has the burden of proving, by a preponderance of the evidence, that the infraction was committed.</w:t>
      </w:r>
    </w:p>
    <w:p>
      <w:pPr>
        <w:spacing w:before="0" w:after="0" w:line="408" w:lineRule="exact"/>
        <w:ind w:left="0" w:right="0" w:firstLine="576"/>
        <w:jc w:val="left"/>
      </w:pPr>
      <w:r>
        <w:rPr/>
        <w:t xml:space="preserve">(g) A person may request a payment plan at any time for the payment of any penalty or other monetary obligation associated with an infraction under this section. The agency issuing the infraction shall provide information about how to submit evidence of inability to pay, how to obtain a payment plan, and that failure to pay or enter into a payment plan may result in collection action or nonrenewal of the vehicle registration. The office of administrative hearings may authorize a payment plan if it determines that a person is not able to pay the monetary obligation, and it may modify a payment plan at any time.</w:t>
      </w:r>
    </w:p>
    <w:p>
      <w:pPr>
        <w:spacing w:before="0" w:after="0" w:line="408" w:lineRule="exact"/>
        <w:ind w:left="0" w:right="0" w:firstLine="576"/>
        <w:jc w:val="left"/>
      </w:pPr>
      <w:r>
        <w:rPr/>
        <w:t xml:space="preserve">(8)(a)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rPr/>
        <w:t xml:space="preserve">(b) The registered owner of a vehicle is responsible for a traffic infraction under RCW 46.63.030 unless the registered owner overcomes the presumption in RCW 46.63.075 or, in the case of a rental car business, satisfies the conditions under (f) of this subsection. If appropriate under the circumstances, a renter identified under (f)(i) of this subsection is responsible for the traffic infraction.</w:t>
      </w:r>
    </w:p>
    <w:p>
      <w:pPr>
        <w:spacing w:before="0" w:after="0" w:line="408" w:lineRule="exact"/>
        <w:ind w:left="0" w:right="0" w:firstLine="576"/>
        <w:jc w:val="left"/>
      </w:pPr>
      <w:r>
        <w:rPr/>
        <w:t xml:space="preserve">(c)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rPr/>
        <w:t xml:space="preserve">(d)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(e) Imposition of a penalty for a speed violation detected through the use of speed safety camera systems shall not be deemed a conviction as defined in RCW 46.25.010, and shall not be part of the registered owner's driving record under RCW 46.52.101 and 46.52.120. Additionally, infractions generated by the use of speed safety camera systems under this section shall be processed in the same manner as parking infractions, including for the purposes of RCW 46.16A.120 and 46.20.270(2).</w:t>
      </w:r>
    </w:p>
    <w:p>
      <w:pPr>
        <w:spacing w:before="0" w:after="0" w:line="408" w:lineRule="exact"/>
        <w:ind w:left="0" w:right="0" w:firstLine="576"/>
        <w:jc w:val="left"/>
      </w:pPr>
      <w:r>
        <w:rPr/>
        <w:t xml:space="preserve">(f)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(8)(f)(i)(B)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rPr/>
        <w:t xml:space="preserve">(9)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w:t>
      </w:r>
      <w:r>
        <w:rPr>
          <w:u w:val="single"/>
        </w:rPr>
        <w:t xml:space="preserve">, including to fund the online work zone and first responder safety course required under section 1 of this act,</w:t>
      </w:r>
      <w:r>
        <w:rPr/>
        <w:t xml:space="preserve"> and local DUI emphasis patrols.</w:t>
      </w:r>
    </w:p>
    <w:p>
      <w:pPr>
        <w:spacing w:before="0" w:after="0" w:line="408" w:lineRule="exact"/>
        <w:ind w:left="0" w:right="0" w:firstLine="576"/>
        <w:jc w:val="left"/>
      </w:pPr>
      <w:r>
        <w:rPr/>
        <w:t xml:space="preserve">(10)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(12)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bde56fafadf47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8e7221435b4fc5" /><Relationship Type="http://schemas.openxmlformats.org/officeDocument/2006/relationships/footer" Target="/word/footer1.xml" Id="Rdbde56fafadf472e" /></Relationships>
</file>