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3d3f09bd994fd6" /></Relationships>
</file>

<file path=word/document.xml><?xml version="1.0" encoding="utf-8"?>
<w:document xmlns:w="http://schemas.openxmlformats.org/wordprocessingml/2006/main">
  <w:body>
    <w:p>
      <w:r>
        <w:t>S-1057.1</w:t>
      </w:r>
    </w:p>
    <w:p>
      <w:pPr>
        <w:jc w:val="center"/>
      </w:pPr>
      <w:r>
        <w:t>_______________________________________________</w:t>
      </w:r>
    </w:p>
    <w:p/>
    <w:p>
      <w:pPr>
        <w:jc w:val="center"/>
      </w:pPr>
      <w:r>
        <w:rPr>
          <w:b/>
        </w:rPr>
        <w:t>SENATE BILL 5707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Short, Hansen, Hasegawa, Nobles, and Stanford</w:t>
      </w:r>
    </w:p>
    <w:p/>
    <w:p>
      <w:r>
        <w:rPr>
          <w:t xml:space="preserve">Read first time 02/07/25.  </w:t>
        </w:rPr>
      </w:r>
      <w:r>
        <w:rPr>
          <w:t xml:space="preserve">Referred to Committee on State Government, Tribal Affairs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email addresses of individuals who subscribe to regular communications and updates from local agencies; and reenacting and amending RCW 42.56.230.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2023 c 361 s 14, 2023 c 346 s 1, and 2023 c 182 s 2 are each reenacted and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children, youth, and families;</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w:t>
      </w:r>
    </w:p>
    <w:p>
      <w:pPr>
        <w:spacing w:before="0" w:after="0" w:line="408" w:lineRule="exact"/>
        <w:ind w:left="0" w:right="0" w:firstLine="576"/>
        <w:jc w:val="left"/>
      </w:pPr>
      <w:r>
        <w:rPr/>
        <w:t xml:space="preserve">(iii) </w:t>
      </w:r>
      <w:r>
        <w:rPr/>
        <w:t xml:space="preserve">For a student enrolled or previously enrolled in a local education agency, in any records pertaining to the student, including correspondence;</w:t>
      </w:r>
    </w:p>
    <w:p>
      <w:pPr>
        <w:spacing w:before="0" w:after="0" w:line="408" w:lineRule="exact"/>
        <w:ind w:left="0" w:right="0" w:firstLine="576"/>
        <w:jc w:val="left"/>
      </w:pPr>
      <w:r>
        <w:rPr/>
        <w:t xml:space="preserve">(iv) For the family members or guardians of a child who is subject to the exemption under this subsection (2) if the family member or guardian has the same last name as the child or if the family member or guardian resides at the same address as the child and disclosure of the family member's or guardian's information would result in disclosure of the personal information exempted under (a)(i) through (iii) of this subsection; or</w:t>
      </w:r>
    </w:p>
    <w:p>
      <w:pPr>
        <w:spacing w:before="0" w:after="0" w:line="408" w:lineRule="exact"/>
        <w:ind w:left="0" w:right="0" w:firstLine="576"/>
        <w:jc w:val="left"/>
      </w:pPr>
      <w:r>
        <w:rPr/>
        <w:t xml:space="preserve">(v) For substitute caregivers who are licensed or approved to provide overnight care of children by the department of children, youth, and families.</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information as defined in RCW 9.35.005 including social security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(c) of this subsection (7) and this subsection (7)(d) that is subject to public disclosure;</w:t>
      </w:r>
    </w:p>
    <w:p>
      <w:pPr>
        <w:spacing w:before="0" w:after="0" w:line="408" w:lineRule="exact"/>
        <w:ind w:left="0" w:right="0" w:firstLine="576"/>
        <w:jc w:val="left"/>
      </w:pPr>
      <w:r>
        <w:rPr/>
        <w:t xml:space="preserve">(8) All information related to individual claim resolution settlement agreements submitted to the board of industrial insurance appeals under RCW 51.04.063, other than final orders from the board of industrial insurance appeals. The board of industrial insurance appeals shall provide to the department of labor and industries copies of all final claim resolution settlement agreements;</w:t>
      </w:r>
    </w:p>
    <w:p>
      <w:pPr>
        <w:spacing w:before="0" w:after="0" w:line="408" w:lineRule="exact"/>
        <w:ind w:left="0" w:right="0" w:firstLine="576"/>
        <w:jc w:val="left"/>
      </w:pPr>
      <w:r>
        <w:rPr/>
        <w:t xml:space="preserve">(9) Voluntarily submitted information contained in a database that is part of or associated with 911 emergency communications systems, or information contained or used in emergency notification systems as provided under RCW 38.52.575 and 38.52.577;</w:t>
      </w:r>
    </w:p>
    <w:p>
      <w:pPr>
        <w:spacing w:before="0" w:after="0" w:line="408" w:lineRule="exact"/>
        <w:ind w:left="0" w:right="0" w:firstLine="576"/>
        <w:jc w:val="left"/>
      </w:pPr>
      <w:r>
        <w:rPr/>
        <w:t xml:space="preserve">(10) Information relating to a future voter, as provided in RCW 29A.08.725;</w:t>
      </w:r>
    </w:p>
    <w:p>
      <w:pPr>
        <w:spacing w:before="0" w:after="0" w:line="408" w:lineRule="exact"/>
        <w:ind w:left="0" w:right="0" w:firstLine="576"/>
        <w:jc w:val="left"/>
      </w:pPr>
      <w:r>
        <w:rPr/>
        <w:t xml:space="preserve">(11) All information submitted by a person to the state, either directly or through a state-licensed gambling establishment, or Indian tribes, or tribal enterprises that own gambling operations or facilities with class III gaming compacts, as part of the self-exclusion program established in RCW 9.46.071 or 67.70.040 for people with a gambling problem or gambling disorder;</w:t>
      </w:r>
    </w:p>
    <w:p>
      <w:pPr>
        <w:spacing w:before="0" w:after="0" w:line="408" w:lineRule="exact"/>
        <w:ind w:left="0" w:right="0" w:firstLine="576"/>
        <w:jc w:val="left"/>
      </w:pPr>
      <w:r>
        <w:rPr/>
        <w:t xml:space="preserve">(12) Names, addresses, or other personal information of individuals who participated in the bump-fire stock buy-back program under former RCW 43.43.920; </w:t>
      </w:r>
      <w:r>
        <w:t>((</w:t>
      </w:r>
      <w:r>
        <w:rPr>
          <w:strike/>
        </w:rPr>
        <w:t xml:space="preserve">and</w:t>
      </w:r>
      <w:r>
        <w:t>))</w:t>
      </w:r>
    </w:p>
    <w:p>
      <w:pPr>
        <w:spacing w:before="0" w:after="0" w:line="408" w:lineRule="exact"/>
        <w:ind w:left="0" w:right="0" w:firstLine="576"/>
        <w:jc w:val="left"/>
      </w:pPr>
      <w:r>
        <w:rPr/>
        <w:t xml:space="preserve">(13) All personal and financial information concerning a player that is received or maintained by the state lottery or any contracted lottery vendor except the player's name and city or town of residence. Additional information may be released only in accordance with prior written permission from the player</w:t>
      </w:r>
      <w:r>
        <w:rPr>
          <w:u w:val="single"/>
        </w:rPr>
        <w:t xml:space="preserve">; and</w:t>
      </w:r>
    </w:p>
    <w:p>
      <w:pPr>
        <w:spacing w:before="0" w:after="0" w:line="408" w:lineRule="exact"/>
        <w:ind w:left="0" w:right="0" w:firstLine="576"/>
        <w:jc w:val="left"/>
      </w:pPr>
      <w:r>
        <w:rPr>
          <w:u w:val="single"/>
        </w:rPr>
        <w:t xml:space="preserve">(14) Email addresses of individuals who submit their information to a local agency for the purpose of subscribing to regular communications and updates from the agency, such as agency newsletters or other similar publications</w:t>
      </w:r>
      <w:r>
        <w:rPr/>
        <w:t xml:space="preserve">.</w:t>
      </w:r>
    </w:p>
    <w:p/>
    <w:p>
      <w:pPr>
        <w:jc w:val="center"/>
      </w:pPr>
      <w:r>
        <w:rPr>
          <w:b/>
        </w:rPr>
        <w:t>--- END ---</w:t>
      </w:r>
    </w:p>
    <w:sectPr>
      <w:pgNumType w:start="1"/>
      <w:footerReference xmlns:r="http://schemas.openxmlformats.org/officeDocument/2006/relationships" r:id="Rc4eee0f3d740403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6dd49152694f97" /><Relationship Type="http://schemas.openxmlformats.org/officeDocument/2006/relationships/footer" Target="/word/footer1.xml" Id="Rc4eee0f3d7404037" /></Relationships>
</file>