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acd3b641834ece" /></Relationships>
</file>

<file path=word/document.xml><?xml version="1.0" encoding="utf-8"?>
<w:document xmlns:w="http://schemas.openxmlformats.org/wordprocessingml/2006/main">
  <w:body>
    <w:p>
      <w:r>
        <w:t>S-0832.1</w:t>
      </w:r>
    </w:p>
    <w:p>
      <w:pPr>
        <w:jc w:val="center"/>
      </w:pPr>
      <w:r>
        <w:t>_______________________________________________</w:t>
      </w:r>
    </w:p>
    <w:p/>
    <w:p>
      <w:pPr>
        <w:jc w:val="center"/>
      </w:pPr>
      <w:r>
        <w:rPr>
          <w:b/>
        </w:rPr>
        <w:t>SENATE BILL 5699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Goehner, Short, Dozier, and Gildon</w:t>
      </w:r>
    </w:p>
    <w:p/>
    <w:p>
      <w:r>
        <w:rPr>
          <w:t xml:space="preserve">Read first time 02/07/25.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limited areas of more intensive rural development; and amending RCW 36.70A.070.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2024 c 135 s 1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and green spaces, urban and community forests within the urban growth area,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The land use element must give special consideration to achieving environmental justice in its goals and policies, including efforts to avoid creating or worsening environmental health disparities. Wherever possible, the land use element should consider utilizing urban planning approaches that promote physical activity and reduce per capita vehicle miles traveled within the jurisdiction, but without increasing greenhouse gas emissions elsewhere in the state.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 The land use element must reduce and mitigate the risk to lives and property posed by wildfires by using land use planning tools, which may include, but are not limited to, adoption of portions or all of the wildland urban interface code developed by the international code council or developing building and maintenance standards consistent with the firewise USA program or similar program designed to reduce wildfire risk, reducing wildfire risks to residential development in high risk areas and the wildland urban interface area, separating human development from wildfire prone landscapes, and protecting existing residential development and infrastructure through community wildfire preparedness and fire adaptation measures.</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The adoption of ordinances, development regulations and amendments to such regulations, and other nonproject actions taken by a city that is required or chooses to plan under RCW 36.70A.040 that increase housing capacity, increase housing affordability, and mitigate displacement as required under this subsection (2) and that apply outside of critical areas are not subject to administrative or judicial appeal under chapter 43.21C RCW unless the adoption of such ordinances, development regulations and amendments to such regulations, or other nonproject actions has a probable significant adverse impact on fish habitat.</w:t>
      </w:r>
    </w:p>
    <w:p>
      <w:pPr>
        <w:spacing w:before="0" w:after="0" w:line="408" w:lineRule="exact"/>
        <w:ind w:left="0" w:right="0" w:firstLine="576"/>
        <w:jc w:val="left"/>
      </w:pPr>
      <w:r>
        <w:rPr/>
        <w:t xml:space="preserve">(3) A capital facilities plan element consisting of: (a) An inventory of existing capital facilities owned by public entities, including green infrastructure,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The county or city shall identify all public entities that own capital facilities and endeavor in good faith to work with other public entities, such as special purpose districts, to gather and include within its capital facilities element the information required by this subsection. If, after a good faith effort, the county or city is unable to gather the information required by this subsection from the other public entities, the failure to include such information in its capital facilities element cannot be grounds for a finding of noncompliance or invalidity under chapter 228, Laws of 2023.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(4)(a) A utilities element consisting of the general location, proposed location, and capacity of all existing and proposed utilities including, but not limited to, electrical, telecommunications, and natural gas systems.</w:t>
      </w:r>
    </w:p>
    <w:p>
      <w:pPr>
        <w:spacing w:before="0" w:after="0" w:line="408" w:lineRule="exact"/>
        <w:ind w:left="0" w:right="0" w:firstLine="576"/>
        <w:jc w:val="left"/>
      </w:pPr>
      <w:r>
        <w:rPr/>
        <w:t xml:space="preserve">(b) The county or city shall identify all public entities that own utility systems and endeavor in good faith to work with other public entities, such as special purpose districts, to gather and include within its utilities element the information required in (a) of this subsection. However, if, after a good faith effort, the county or city is unable to gather the information required in (a) of this subsection from the other public entities, the failure to include such information in the utilities element shall not be grounds for a finding of noncompliance or invalidity under chapter 228, Laws of 2023.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may be permitted subject to confirmation from all existing providers of public facilities and public services of sufficient capacity of existing public facilities and public services to serve any new or additional demand from the new development or redevelopment. Development and redevelopment may include changes in use from vacant land or a previously existing use so long as the new use conforms to the requirements of this subsection (5) 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t xml:space="preserve">(I) Any included retail or food service space must not exceed the footprint of previously occupied space or 5,000 square feet, whichever is greater, for the same or similar use, unless the retail space is for an essential rural retail service and the designated limited area is located at least 10 miles from an existing urban growth area, then the retail space must not exceed the footprint of the previously occupied space or 10,000 square feet, whichever is greater; </w:t>
      </w:r>
      <w:r>
        <w:t>((</w:t>
      </w:r>
      <w:r>
        <w:rPr>
          <w:strike/>
        </w:rPr>
        <w:t xml:space="preserve">and</w:t>
      </w:r>
      <w:r>
        <w:t>))</w:t>
      </w:r>
    </w:p>
    <w:p>
      <w:pPr>
        <w:spacing w:before="0" w:after="0" w:line="408" w:lineRule="exact"/>
        <w:ind w:left="0" w:right="0" w:firstLine="576"/>
        <w:jc w:val="left"/>
      </w:pPr>
      <w:r>
        <w:rPr/>
        <w:t xml:space="preserve">(II) Any included retail or food service space must not exceed 2,500 square feet for a new use, unless the new retail space is for an essential rural retail service and the designated limited area is located at least 10 miles from an existing urban growth area, then the new retail space must not exceed 10,000 square feet;</w:t>
      </w:r>
    </w:p>
    <w:p>
      <w:pPr>
        <w:spacing w:before="0" w:after="0" w:line="408" w:lineRule="exact"/>
        <w:ind w:left="0" w:right="0" w:firstLine="576"/>
        <w:jc w:val="left"/>
      </w:pPr>
      <w:r>
        <w:rPr/>
        <w:t xml:space="preserve">For the purposes of this subsection (5)(d), "essential rural retail services" means services including grocery, pharmacy, hardware, automotive parts, and similar uses that sell or provide products necessary for health and safety, such as food, medication, sanitation supplies, and products to maintain habitability and mobility; </w:t>
      </w:r>
      <w:r>
        <w:rPr>
          <w:u w:val="single"/>
        </w:rPr>
        <w:t xml:space="preserve">and</w:t>
      </w:r>
    </w:p>
    <w:p>
      <w:pPr>
        <w:spacing w:before="0" w:after="0" w:line="408" w:lineRule="exact"/>
        <w:ind w:left="0" w:right="0" w:firstLine="576"/>
        <w:jc w:val="left"/>
      </w:pPr>
      <w:r>
        <w:rPr>
          <w:u w:val="single"/>
        </w:rPr>
        <w:t xml:space="preserve">(III) New commercial or industrial development or redevelopment other than retail or food service may be allowed within the logical outer boundary when the legislative authority deems it economically necessary;</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36.70A.030(35). Rural counties may also allow new small-scale businesses to utilize a site previously occupied by an existing business as long as the new small-scale business conforms to the rural character of the area as defined by the local government according to RCW 36.70A.030(35).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of more intensive rural development, as appropriate, authorized under this subsection. Lands included in such existing areas shall not extend beyond the logical outer boundary of the existing area,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this subsection (5)(d),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multimodal level of service impacts to state-owned transportation facilities resulting from land use assumptions to assist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active transportation facilities, and general aviation airport facilities, to define existing capital facilities and travel levels to inform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Multimodal level of service standards for all locally owned arterials, locally and regionally operated transit routes that serve urban growth areas, state-owned or operated transit routes that serve urban areas if the department of transportation has prepared such standards, and active transportation facilities to serve as a gauge to judge performance of the system and success in helping to achieve the goals of this chapter consistent with environmental justice. These standards should be regionally coordinated;</w:t>
      </w:r>
    </w:p>
    <w:p>
      <w:pPr>
        <w:spacing w:before="0" w:after="0" w:line="408" w:lineRule="exact"/>
        <w:ind w:left="0" w:right="0" w:firstLine="576"/>
        <w:jc w:val="left"/>
      </w:pPr>
      <w:r>
        <w:rPr/>
        <w:t xml:space="preserve">(C) For state-owned transportation facilities, multimodal level of service standards for highways, as prescribed in chapters 47.06 and 47.80 RCW, to gauge the performance of the system. The purposes of reflecting multimodal level of service standards for state highways in the local comprehensive plan are to monitor the performance of the system, to evaluate improvement strategies, and to facilitate coordination between the county's or city's six-year street, road, active transportation,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transportation facilities or services that are below an established multimodal level of service standard;</w:t>
      </w:r>
    </w:p>
    <w:p>
      <w:pPr>
        <w:spacing w:before="0" w:after="0" w:line="408" w:lineRule="exact"/>
        <w:ind w:left="0" w:right="0" w:firstLine="576"/>
        <w:jc w:val="left"/>
      </w:pPr>
      <w:r>
        <w:rPr/>
        <w:t xml:space="preserve">(E) Forecasts of multimodal transportation demand and needs within cities and urban growth areas, and forecasts of multimodal transportation demand and needs outside of cities and urban growth areas, for at least ten years based on the adopted land use plan to inform the development of a transportation element that balances transportation system safety and convenience to accommodate all users of the transportation system to safely, reliably, and efficiently provide access and mobility to people and goods. Priority must be given to inclusion of transportation facilities and services providing the greatest multimodal safety benefit to each category of roadway users for the context and speed of the facility;</w:t>
      </w:r>
    </w:p>
    <w:p>
      <w:pPr>
        <w:spacing w:before="0" w:after="0" w:line="408" w:lineRule="exact"/>
        <w:ind w:left="0" w:right="0" w:firstLine="576"/>
        <w:jc w:val="left"/>
      </w:pPr>
      <w:r>
        <w:rPr/>
        <w:t xml:space="preserve">(F) Identification of state and local system needs to equitably meet current and future demands. Identified needs on state-owned transportation facilities must be consistent with the statewide multimodal transportation plan required under chapter 47.06 RCW. Local system needs should reflect the regional transportation system and local goals, and strive to equitably implement the multimodal network;</w:t>
      </w:r>
    </w:p>
    <w:p>
      <w:pPr>
        <w:spacing w:before="0" w:after="0" w:line="408" w:lineRule="exact"/>
        <w:ind w:left="0" w:right="0" w:firstLine="576"/>
        <w:jc w:val="left"/>
      </w:pPr>
      <w:r>
        <w:rPr/>
        <w:t xml:space="preserve">(G) A transition plan for transportation as required in Title II of the Americans with disabilities act of 1990 (ADA). As a necessary step to a program access plan to provide accessibility under the ADA, state and local government, public entities, and public agencies are required to perform self-evaluations of their current facilities, relative to accessibility requirements of the ADA. The agencies are then required to develop a program access plan, which can be called a transition plan, to address any deficiencies. The plan is intended to achieve the following:</w:t>
      </w:r>
    </w:p>
    <w:p>
      <w:pPr>
        <w:spacing w:before="0" w:after="0" w:line="408" w:lineRule="exact"/>
        <w:ind w:left="0" w:right="0" w:firstLine="576"/>
        <w:jc w:val="left"/>
      </w:pPr>
      <w:r>
        <w:rPr/>
        <w:t xml:space="preserve">(I) Identify physical obstacles that limit the accessibility of facilities to individuals with disabilities;</w:t>
      </w:r>
    </w:p>
    <w:p>
      <w:pPr>
        <w:spacing w:before="0" w:after="0" w:line="408" w:lineRule="exact"/>
        <w:ind w:left="0" w:right="0" w:firstLine="576"/>
        <w:jc w:val="left"/>
      </w:pPr>
      <w:r>
        <w:rPr/>
        <w:t xml:space="preserve">(II) Describe the methods to be used to make the facilities accessible;</w:t>
      </w:r>
    </w:p>
    <w:p>
      <w:pPr>
        <w:spacing w:before="0" w:after="0" w:line="408" w:lineRule="exact"/>
        <w:ind w:left="0" w:right="0" w:firstLine="576"/>
        <w:jc w:val="left"/>
      </w:pPr>
      <w:r>
        <w:rPr/>
        <w:t xml:space="preserve">(III) Provide a schedule for making the access modifications; and</w:t>
      </w:r>
    </w:p>
    <w:p>
      <w:pPr>
        <w:spacing w:before="0" w:after="0" w:line="408" w:lineRule="exact"/>
        <w:ind w:left="0" w:right="0" w:firstLine="576"/>
        <w:jc w:val="left"/>
      </w:pPr>
      <w:r>
        <w:rPr/>
        <w:t xml:space="preserve">(IV) Identify the public officials responsible for implementation of the transition plan;</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the identified needs of the transportation system, including state transportation facilities,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Active transportation component to include collaborative efforts to identify and designate planned improvements for active transportation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or locally or regionally operated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active transportation facility improvements, increased or enhanced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 A development proposal may not be denied for causing the level of service on a locally owned or locally or regionally operated transportation facility to decline below the standards adopted in the transportation element of the comprehensive plan where such impacts could be adequately mitigated through active transportation facility improvements, increased or enhanced public transportation service, ride-sharing programs, demand management, or other transportation systems management strategies funded by the development.</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(c) an evaluation of tree canopy coverage within the urban growth area; and (d)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(9)(a) A climate change and resiliency element that is designed to result in reductions in overall greenhouse gas emissions and that must enhance resiliency to and avoid the adverse impacts of climate change, which must include efforts to reduce localized greenhouse gas emissions and avoid creating or worsening localized climate impacts to vulnerable populations and overburdened communities.</w:t>
      </w:r>
    </w:p>
    <w:p>
      <w:pPr>
        <w:spacing w:before="0" w:after="0" w:line="408" w:lineRule="exact"/>
        <w:ind w:left="0" w:right="0" w:firstLine="576"/>
        <w:jc w:val="left"/>
      </w:pPr>
      <w:r>
        <w:rPr/>
        <w:t xml:space="preserve">(b) The climate change and resiliency element shall include the following subelements:</w:t>
      </w:r>
    </w:p>
    <w:p>
      <w:pPr>
        <w:spacing w:before="0" w:after="0" w:line="408" w:lineRule="exact"/>
        <w:ind w:left="0" w:right="0" w:firstLine="576"/>
        <w:jc w:val="left"/>
      </w:pPr>
      <w:r>
        <w:rPr/>
        <w:t xml:space="preserve">(i) A greenhouse gas emissions reduction subelement;</w:t>
      </w:r>
    </w:p>
    <w:p>
      <w:pPr>
        <w:spacing w:before="0" w:after="0" w:line="408" w:lineRule="exact"/>
        <w:ind w:left="0" w:right="0" w:firstLine="576"/>
        <w:jc w:val="left"/>
      </w:pPr>
      <w:r>
        <w:rPr/>
        <w:t xml:space="preserve">(ii) A resiliency subelement.</w:t>
      </w:r>
    </w:p>
    <w:p>
      <w:pPr>
        <w:spacing w:before="0" w:after="0" w:line="408" w:lineRule="exact"/>
        <w:ind w:left="0" w:right="0" w:firstLine="576"/>
        <w:jc w:val="left"/>
      </w:pPr>
      <w:r>
        <w:rPr/>
        <w:t xml:space="preserve">(c) The greenhouse gas emissions reduction subelement of the climate change and resiliency element is mandatory for the jurisdictions specified in RCW 36.70A.095 and is encouraged for all other jurisdictions, including those planning under RCW 36.70A.040 and those planning under chapter 36.70 RCW. The resiliency subelement of the climate change and resiliency element is mandatory for all jurisdictions planning under RCW 36.70A.040 and is encouraged for those jurisdictions planning under chapter 36.70 RCW.</w:t>
      </w:r>
    </w:p>
    <w:p>
      <w:pPr>
        <w:spacing w:before="0" w:after="0" w:line="408" w:lineRule="exact"/>
        <w:ind w:left="0" w:right="0" w:firstLine="576"/>
        <w:jc w:val="left"/>
      </w:pPr>
      <w:r>
        <w:rPr/>
        <w:t xml:space="preserve">(d)(i) The greenhouse gas emissions reduction subelement of the comprehensive plan, and its related development regulations, must identify the actions the jurisdiction will take during the planning cycle consistent with the guidelines published by the department pursuant to RCW 70A.45.120 that will:</w:t>
      </w:r>
    </w:p>
    <w:p>
      <w:pPr>
        <w:spacing w:before="0" w:after="0" w:line="408" w:lineRule="exact"/>
        <w:ind w:left="0" w:right="0" w:firstLine="576"/>
        <w:jc w:val="left"/>
      </w:pPr>
      <w:r>
        <w:rPr/>
        <w:t xml:space="preserve">(A) Result in reductions in overall greenhouse gas emissions generated by transportation and land use within the jurisdiction but without increasing greenhouse gas emissions elsewhere in the state;</w:t>
      </w:r>
    </w:p>
    <w:p>
      <w:pPr>
        <w:spacing w:before="0" w:after="0" w:line="408" w:lineRule="exact"/>
        <w:ind w:left="0" w:right="0" w:firstLine="576"/>
        <w:jc w:val="left"/>
      </w:pPr>
      <w:r>
        <w:rPr/>
        <w:t xml:space="preserve">(B) Result in reductions in per capita vehicle miles traveled within the jurisdiction but without increasing greenhouse gas emissions elsewhere in the state; and</w:t>
      </w:r>
    </w:p>
    <w:p>
      <w:pPr>
        <w:spacing w:before="0" w:after="0" w:line="408" w:lineRule="exact"/>
        <w:ind w:left="0" w:right="0" w:firstLine="576"/>
        <w:jc w:val="left"/>
      </w:pPr>
      <w:r>
        <w:rPr/>
        <w:t xml:space="preserve">(C) Prioritize reductions that benefit overburdened communities in order to maximize the cobenefits of reduced air pollution and environmental justice.</w:t>
      </w:r>
    </w:p>
    <w:p>
      <w:pPr>
        <w:spacing w:before="0" w:after="0" w:line="408" w:lineRule="exact"/>
        <w:ind w:left="0" w:right="0" w:firstLine="576"/>
        <w:jc w:val="left"/>
      </w:pPr>
      <w:r>
        <w:rPr/>
        <w:t xml:space="preserve">(ii) Actions not specifically identified in the guidelines developed by the department pursuant to RCW 70A.45.120 may be considered consistent with these guidelines only if:</w:t>
      </w:r>
    </w:p>
    <w:p>
      <w:pPr>
        <w:spacing w:before="0" w:after="0" w:line="408" w:lineRule="exact"/>
        <w:ind w:left="0" w:right="0" w:firstLine="576"/>
        <w:jc w:val="left"/>
      </w:pPr>
      <w:r>
        <w:rPr/>
        <w:t xml:space="preserve">(A) They are projected to achieve greenhouse gas emissions reductions or per capita vehicle miles traveled reductions equivalent to what would be required of the jurisdiction under the guidelines adopted by the department; and</w:t>
      </w:r>
    </w:p>
    <w:p>
      <w:pPr>
        <w:spacing w:before="0" w:after="0" w:line="408" w:lineRule="exact"/>
        <w:ind w:left="0" w:right="0" w:firstLine="576"/>
        <w:jc w:val="left"/>
      </w:pPr>
      <w:r>
        <w:rPr/>
        <w:t xml:space="preserve">(B) They are supported by scientifically credible projections and scenarios that indicate their adoption is likely to result in reductions of greenhouse gas emissions or per capita vehicle miles traveled.</w:t>
      </w:r>
    </w:p>
    <w:p>
      <w:pPr>
        <w:spacing w:before="0" w:after="0" w:line="408" w:lineRule="exact"/>
        <w:ind w:left="0" w:right="0" w:firstLine="576"/>
        <w:jc w:val="left"/>
      </w:pPr>
      <w:r>
        <w:rPr/>
        <w:t xml:space="preserve">(iii) A jurisdiction may not restrict population growth or limit population allocation in order to achieve the requirements set forth in this subsection (9)(d).</w:t>
      </w:r>
    </w:p>
    <w:p>
      <w:pPr>
        <w:spacing w:before="0" w:after="0" w:line="408" w:lineRule="exact"/>
        <w:ind w:left="0" w:right="0" w:firstLine="576"/>
        <w:jc w:val="left"/>
      </w:pPr>
      <w:r>
        <w:rPr/>
        <w:t xml:space="preserve">(e)(i) The resiliency subelement must equitably enhance resiliency to, and avoid or substantially reduce the adverse impacts of, climate change in human communities and ecological systems through goals, policies, and programs consistent with the best available science and scientifically credible climate projections and impact scenarios that moderate or avoid harm, enhance the resiliency of natural and human systems, and enhance beneficial opportunities. The resiliency subelement must prioritize actions that benefit overburdened communities that will disproportionately suffer from compounding environmental impacts and will be most impacted by natural hazards due to climate change. Specific goals, policies, and programs of the resiliency subelement must include, but are not limited to, those designed to:</w:t>
      </w:r>
    </w:p>
    <w:p>
      <w:pPr>
        <w:spacing w:before="0" w:after="0" w:line="408" w:lineRule="exact"/>
        <w:ind w:left="0" w:right="0" w:firstLine="576"/>
        <w:jc w:val="left"/>
      </w:pPr>
      <w:r>
        <w:rPr/>
        <w:t xml:space="preserve">(A) Identify, protect, and enhance natural areas to foster resiliency to climate impacts, as well as areas of vital habitat for safe passage and species migration;</w:t>
      </w:r>
    </w:p>
    <w:p>
      <w:pPr>
        <w:spacing w:before="0" w:after="0" w:line="408" w:lineRule="exact"/>
        <w:ind w:left="0" w:right="0" w:firstLine="576"/>
        <w:jc w:val="left"/>
      </w:pPr>
      <w:r>
        <w:rPr/>
        <w:t xml:space="preserve">(B) Identify, protect, and enhance community resiliency to climate change impacts, including social, economic, and built environment factors, that support adaptation to climate impacts consistent with environmental justice; and</w:t>
      </w:r>
    </w:p>
    <w:p>
      <w:pPr>
        <w:spacing w:before="0" w:after="0" w:line="408" w:lineRule="exact"/>
        <w:ind w:left="0" w:right="0" w:firstLine="576"/>
        <w:jc w:val="left"/>
      </w:pPr>
      <w:r>
        <w:rPr/>
        <w:t xml:space="preserve">(C) Address natural hazards created or aggravated by climate change, including sea level rise, landslides, flooding, drought, heat, smoke, wildfire, and other effects of changes to temperature and precipitation patterns.</w:t>
      </w:r>
    </w:p>
    <w:p>
      <w:pPr>
        <w:spacing w:before="0" w:after="0" w:line="408" w:lineRule="exact"/>
        <w:ind w:left="0" w:right="0" w:firstLine="576"/>
        <w:jc w:val="left"/>
      </w:pPr>
      <w:r>
        <w:rPr/>
        <w:t xml:space="preserve">(ii) A natural hazard mitigation plan or similar plan that is guided by RCW 36.70A.020(14), that prioritizes actions that benefit overburdened communities, and that complies with the applicable requirements of this chapter, including the requirements set forth in this subsection (9)(e), may be adopted by reference to satisfy these requirements, except that to the extent any of the substantive requirements of this subsection (9)(e) are not addressed, or are inadequately addressed, in the referenced natural hazard mitigation plan, a county or city must supplement the natural hazard mitigation plan accordingly so that the adopted resiliency subelement complies fully with the substantive requirements of this subsection (9)(e).</w:t>
      </w:r>
    </w:p>
    <w:p>
      <w:pPr>
        <w:spacing w:before="0" w:after="0" w:line="408" w:lineRule="exact"/>
        <w:ind w:left="0" w:right="0" w:firstLine="576"/>
        <w:jc w:val="left"/>
      </w:pPr>
      <w:r>
        <w:rPr/>
        <w:t xml:space="preserve">(A) If a county or city intends to adopt by reference a federal emergency management agency natural hazard mitigation plan in order to meet all or part of the substantive requirements set forth in this subsection (9)(e), and the most recently adopted federal emergency management agency natural hazard mitigation plan does not comply with the requirements of this subsection (9)(e), the department may grant the county or city an extension of time in which to submit a natural hazard mitigation plan.</w:t>
      </w:r>
    </w:p>
    <w:p>
      <w:pPr>
        <w:spacing w:before="0" w:after="0" w:line="408" w:lineRule="exact"/>
        <w:ind w:left="0" w:right="0" w:firstLine="576"/>
        <w:jc w:val="left"/>
      </w:pPr>
      <w:r>
        <w:rPr/>
        <w:t xml:space="preserve">(B) Eligibility for an extension under this subsection prior to July 1, 2027, is limited to a city or county required to review and, if needed, revise its comprehensive plan on or before June 30, 2025, as provided in RCW 36.70A.130, or for a city or county with an existing, unexpired federal emergency management agency natural hazard mitigation plan scheduled to expire before December 31, 2024.</w:t>
      </w:r>
    </w:p>
    <w:p>
      <w:pPr>
        <w:spacing w:before="0" w:after="0" w:line="408" w:lineRule="exact"/>
        <w:ind w:left="0" w:right="0" w:firstLine="576"/>
        <w:jc w:val="left"/>
      </w:pPr>
      <w:r>
        <w:rPr/>
        <w:t xml:space="preserve">(C) Extension requests after July 1, 2027, may be granted if requirements for the resiliency subelement are amended or added by the legislature or if the department finds other circumstances that may result in a potential finding of noncompliance with a jurisdiction's existing and approved federal emergency management agency natural hazard mitigation plan.</w:t>
      </w:r>
    </w:p>
    <w:p>
      <w:pPr>
        <w:spacing w:before="0" w:after="0" w:line="408" w:lineRule="exact"/>
        <w:ind w:left="0" w:right="0" w:firstLine="576"/>
        <w:jc w:val="left"/>
      </w:pPr>
      <w:r>
        <w:rPr/>
        <w:t xml:space="preserve">(D) A city or county that wishes to request an extension of time must submit a request in writing to the department no later than the date on which the city or county is required to review and, if needed, revise its comprehensive plan as provided in RCW 36.70A.130.</w:t>
      </w:r>
    </w:p>
    <w:p>
      <w:pPr>
        <w:spacing w:before="0" w:after="0" w:line="408" w:lineRule="exact"/>
        <w:ind w:left="0" w:right="0" w:firstLine="576"/>
        <w:jc w:val="left"/>
      </w:pPr>
      <w:r>
        <w:rPr/>
        <w:t xml:space="preserve">(E) Upon the submission of such a request to the department, the city or county may have an additional 48 months from the date provided in RCW 36.70A.130 in which to either adopt by reference an updated federal emergency management agency natural hazard mitigation plan or adopt its own natural hazard mitigation plan, and to then submit that plan to the department.</w:t>
      </w:r>
    </w:p>
    <w:p>
      <w:pPr>
        <w:spacing w:before="0" w:after="0" w:line="408" w:lineRule="exact"/>
        <w:ind w:left="0" w:right="0" w:firstLine="576"/>
        <w:jc w:val="left"/>
      </w:pPr>
      <w:r>
        <w:rPr/>
        <w:t xml:space="preserve">(F) The adoption of ordinances, amendments to comprehensive plans, amendments to development regulations, and other nonproject actions taken by a county or city pursuant to (d) of this subsection in order to implement measures specified by the department pursuant to RCW 70A.45.120 are not subject to administrative or judicial appeal under chapter 43.21C RCW.</w:t>
      </w:r>
    </w:p>
    <w:p>
      <w:pPr>
        <w:spacing w:before="0" w:after="0" w:line="408" w:lineRule="exact"/>
        <w:ind w:left="0" w:right="0" w:firstLine="576"/>
        <w:jc w:val="left"/>
      </w:pPr>
      <w:r>
        <w:rPr/>
        <w:t xml:space="preserve">(10)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
      <w:pPr>
        <w:jc w:val="center"/>
      </w:pPr>
      <w:r>
        <w:rPr>
          <w:b/>
        </w:rPr>
        <w:t>--- END ---</w:t>
      </w:r>
    </w:p>
    <w:sectPr>
      <w:pgNumType w:start="1"/>
      <w:footerReference xmlns:r="http://schemas.openxmlformats.org/officeDocument/2006/relationships" r:id="R8075274c33bf46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465608a297415a" /><Relationship Type="http://schemas.openxmlformats.org/officeDocument/2006/relationships/footer" Target="/word/footer1.xml" Id="R8075274c33bf4695" /></Relationships>
</file>