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635fd03fd5480c" /></Relationships>
</file>

<file path=word/document.xml><?xml version="1.0" encoding="utf-8"?>
<w:document xmlns:w="http://schemas.openxmlformats.org/wordprocessingml/2006/main">
  <w:body>
    <w:p>
      <w:r>
        <w:t>S-1228.1</w:t>
      </w:r>
    </w:p>
    <w:p>
      <w:pPr>
        <w:jc w:val="center"/>
      </w:pPr>
      <w:r>
        <w:t>_______________________________________________</w:t>
      </w:r>
    </w:p>
    <w:p/>
    <w:p>
      <w:pPr>
        <w:jc w:val="center"/>
      </w:pPr>
      <w:r>
        <w:rPr>
          <w:b/>
        </w:rPr>
        <w:t>SENATE BILL 5698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and Nobles</w:t>
      </w:r>
    </w:p>
    <w:p/>
    <w:p>
      <w:r>
        <w:rPr>
          <w:t xml:space="preserve">Read first time 02/07/25.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compliance obligation under the climate commitment act for certain municipal gas utilities; amending RCW 70A.65.080 and 70A.65.130; and adding a new section to chapter 70A.65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municipal gas utility subject to the provisions of chapter 35.92 RCW whose associated greenhouse gas emissions did not exceed 27,000 metric tons of carbon dioxide equivalent during any year prior to 2022 may elect to pursue the alternative emission reduction pathway authorized under this section in lieu of remaining a covered entity under this chapter. If a municipal gas utility elects to pursue the alternative emission reduction pathway under this section, the department must adopt an emergency rule to adjust the allowance budget of the program applicable to years 2026 and beyond.</w:t>
      </w:r>
    </w:p>
    <w:p>
      <w:pPr>
        <w:spacing w:before="0" w:after="0" w:line="408" w:lineRule="exact"/>
        <w:ind w:left="0" w:right="0" w:firstLine="576"/>
        <w:jc w:val="left"/>
      </w:pPr>
      <w:r>
        <w:rPr/>
        <w:t xml:space="preserve">(2) A municipal gas utility electing to pursue the alternative emission reduction pathway authorized under this section must submit written notice to the department by September 1, 2025, informing the department of its intent to elect the alternative emission reduction pathway. This notice must be accompanied by a plan that meets the requirements of subsection (3) of this section. If the department reviews the plan and determines that it meets the requirements of subsection (3) of this section, the department must notify the utility that its plan has been approved, and the municipal gas utility is relieved of its compliance obligation as of December 31, 2025.</w:t>
      </w:r>
    </w:p>
    <w:p>
      <w:pPr>
        <w:spacing w:before="0" w:after="0" w:line="408" w:lineRule="exact"/>
        <w:ind w:left="0" w:right="0" w:firstLine="576"/>
        <w:jc w:val="left"/>
      </w:pPr>
      <w:r>
        <w:rPr/>
        <w:t xml:space="preserve">(3) An alternative emission reduction pathway proposed by a municipal gas utility must:</w:t>
      </w:r>
    </w:p>
    <w:p>
      <w:pPr>
        <w:spacing w:before="0" w:after="0" w:line="408" w:lineRule="exact"/>
        <w:ind w:left="0" w:right="0" w:firstLine="576"/>
        <w:jc w:val="left"/>
      </w:pPr>
      <w:r>
        <w:rPr/>
        <w:t xml:space="preserve">(a) Be designed to reduce the covered emissions of the municipal gas utility below 22,500 tons of carbon dioxide equivalent by 2030 and each year thereafter;</w:t>
      </w:r>
    </w:p>
    <w:p>
      <w:pPr>
        <w:spacing w:before="0" w:after="0" w:line="408" w:lineRule="exact"/>
        <w:ind w:left="0" w:right="0" w:firstLine="576"/>
        <w:jc w:val="left"/>
      </w:pPr>
      <w:r>
        <w:rPr/>
        <w:t xml:space="preserve">(b) At minimum, result in the targeted expenditure, on emission reduction activities under the plan, by the municipal gas utility of funds that equal or exceed the funds that would have been expended by the municipal gas utility to satisfy its compliance obligation under this chapter each year through 2030; and</w:t>
      </w:r>
    </w:p>
    <w:p>
      <w:pPr>
        <w:spacing w:before="0" w:after="0" w:line="408" w:lineRule="exact"/>
        <w:ind w:left="0" w:right="0" w:firstLine="576"/>
        <w:jc w:val="left"/>
      </w:pPr>
      <w:r>
        <w:rPr/>
        <w:t xml:space="preserve">(c) Describe the activities that the municipal gas utility will pursue to reduce its greenhouse gas emissions to below 22,500 tons of carbon dioxide equivalent by 2030, and demonstrate, including detailed assumptions, how the activities will result in the reduction of greenhouse gas emissions by 2030 and each year thereafter.</w:t>
      </w:r>
    </w:p>
    <w:p>
      <w:pPr>
        <w:spacing w:before="0" w:after="0" w:line="408" w:lineRule="exact"/>
        <w:ind w:left="0" w:right="0" w:firstLine="576"/>
        <w:jc w:val="left"/>
      </w:pPr>
      <w:r>
        <w:rPr/>
        <w:t xml:space="preserve">(4)(a) In the event that a municipal gas utility implementing an alternative emission reduction pathway fails to achieve emission reductions sufficient to drop the utility's emissions below 22,500 tons of carbon dioxide equivalent by 2030, the utility shall revert to being a covered entity for purposes of the third compliance period. Because data allowing for the department to determine whether the utility's alternative emission reduction pathway plan may not be available until midway through the third compliance period, the department must allow the utility to submit all compliance instruments to satisfy its compliance obligation during the third compliance period in the final year of the third compliance period. However, a utility whose alternative emission reduction pathway plan fails to achieve its 2030 target must also submit penalty compliance instruments in an amount equal to one compliance instrument for each ton of emissions that were not covered by the program during the years 2026 through 2030.</w:t>
      </w:r>
    </w:p>
    <w:p>
      <w:pPr>
        <w:spacing w:before="0" w:after="0" w:line="408" w:lineRule="exact"/>
        <w:ind w:left="0" w:right="0" w:firstLine="576"/>
        <w:jc w:val="left"/>
      </w:pPr>
      <w:r>
        <w:rPr/>
        <w:t xml:space="preserve">(b) In the event that a municipal gas utility implementing an alternative emission reduction pathway has covered emissions during any year after 2030 that exceed 22,500 tons of carbon dioxide equivalent, the municipal gas utility must become a covered entity effective as of the year its emissions exceeded 22,500 tons of carbon dioxide equivalent. A utility electing an alternative emission reduction pathway whose covered emissions exceeds 22,500 tons of carbon dioxide equivalent in any year after 2030 must also submit penalty compliance instruments in an amount equal to one compliance instrument for each ton of emissions that were not covered by the program during the years 2026 through the year that the utility resumed a compliance obligation under this chapter as a covered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2024 c 352 s 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(c)(i) Where the person is a first jurisdictional deliverer importing electricity into the state and:</w:t>
      </w:r>
    </w:p>
    <w:p>
      <w:pPr>
        <w:spacing w:before="0" w:after="0" w:line="408" w:lineRule="exact"/>
        <w:ind w:left="0" w:right="0" w:firstLine="576"/>
        <w:jc w:val="left"/>
      </w:pPr>
      <w:r>
        <w:rPr/>
        <w:t xml:space="preserve">(A) For specified sources, the cumulative annual total of emissions associated with the imported electricity exceeds 25,000 metric tons of carbon dioxide equivalent;</w:t>
      </w:r>
    </w:p>
    <w:p>
      <w:pPr>
        <w:spacing w:before="0" w:after="0" w:line="408" w:lineRule="exact"/>
        <w:ind w:left="0" w:right="0" w:firstLine="576"/>
        <w:jc w:val="left"/>
      </w:pPr>
      <w:r>
        <w:rPr/>
        <w:t xml:space="preserve">(B) For unspecified sources, the cumulative annual total of emissions associated with the imported electricity exceeds 0 metric tons of carbon dioxide equivalent; or</w:t>
      </w:r>
    </w:p>
    <w:p>
      <w:pPr>
        <w:spacing w:before="0" w:after="0" w:line="408" w:lineRule="exact"/>
        <w:ind w:left="0" w:right="0" w:firstLine="576"/>
        <w:jc w:val="left"/>
      </w:pPr>
      <w:r>
        <w:rPr/>
        <w:t xml:space="preserve">(C) For electricity purchased from a federal power marketing administration pursuant to section 5(b) of the Pacific Northwest electric power planning and conservation act of 1980, P.L. 96-501, if the department determines such electricity is not from a specified source, the cumulative annual total of emissions associated with the imported electricity exceeds 25,000 metric tons of carbon dioxide equivalent.</w:t>
      </w:r>
    </w:p>
    <w:p>
      <w:pPr>
        <w:spacing w:before="0" w:after="0" w:line="408" w:lineRule="exact"/>
        <w:ind w:left="0" w:right="0" w:firstLine="576"/>
        <w:jc w:val="left"/>
      </w:pPr>
      <w:r>
        <w:rPr/>
        <w:t xml:space="preserve">(ii)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t>
      </w:r>
      <w:r>
        <w:t>((</w:t>
      </w:r>
      <w:r>
        <w:rPr>
          <w:strike/>
        </w:rPr>
        <w:t xml:space="preserve">Where</w:t>
      </w:r>
      <w:r>
        <w:t>))</w:t>
      </w:r>
      <w:r>
        <w:rPr/>
        <w:t xml:space="preserve"> </w:t>
      </w:r>
      <w:r>
        <w:rPr>
          <w:u w:val="single"/>
        </w:rPr>
        <w:t xml:space="preserve">Except as provided in section 1 of this act, where</w:t>
      </w:r>
      <w:r>
        <w:rPr/>
        <w:t xml:space="preserv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A person is a covered entity as of the beginning of the third compliance period, and all subsequent compliance periods if the person reported emissions under RCW 70A.15.2200 or provided emissions data as required by this chapter for 2027 or 2028,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w:t>
      </w:r>
    </w:p>
    <w:p>
      <w:pPr>
        <w:spacing w:before="0" w:after="0" w:line="408" w:lineRule="exact"/>
        <w:ind w:left="0" w:right="0" w:firstLine="576"/>
        <w:jc w:val="left"/>
      </w:pPr>
      <w:r>
        <w:rPr/>
        <w:t xml:space="preserve">(f) Emissions from facilities with North American industry classification system code 92811 (national security); and</w:t>
      </w:r>
    </w:p>
    <w:p>
      <w:pPr>
        <w:spacing w:before="0" w:after="0" w:line="408" w:lineRule="exact"/>
        <w:ind w:left="0" w:right="0" w:firstLine="576"/>
        <w:jc w:val="left"/>
      </w:pPr>
      <w:r>
        <w:rPr/>
        <w:t xml:space="preserve">(g) Emissions from municipal solid waste landfills that are subject to, and in compliance with, chapter 70A.540 RCW.</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this chapter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130</w:t>
      </w:r>
      <w:r>
        <w:rPr/>
        <w:t xml:space="preserve"> and 2021 c 316 s 15 are each amended to read as follows:</w:t>
      </w:r>
    </w:p>
    <w:p>
      <w:pPr>
        <w:spacing w:before="0" w:after="0" w:line="408" w:lineRule="exact"/>
        <w:ind w:left="0" w:right="0" w:firstLine="576"/>
        <w:jc w:val="left"/>
      </w:pPr>
      <w:r>
        <w:rPr/>
        <w:t xml:space="preserve">(1) For the benefit of ratepayers, allowances must be allocated at no cost to covered entities that are natural gas utilities.</w:t>
      </w:r>
    </w:p>
    <w:p>
      <w:pPr>
        <w:spacing w:before="0" w:after="0" w:line="408" w:lineRule="exact"/>
        <w:ind w:left="0" w:right="0" w:firstLine="576"/>
        <w:jc w:val="left"/>
      </w:pPr>
      <w:r>
        <w:rPr/>
        <w:t xml:space="preserve">(a) By October 1, 2022, the department shall adopt rules, in consultation with the utilities and transportation commission, establishing the methods and procedures for allocating allowances to natural gas utilities. </w:t>
      </w:r>
      <w:r>
        <w:t>((</w:t>
      </w:r>
      <w:r>
        <w:rPr>
          <w:strike/>
        </w:rPr>
        <w:t xml:space="preserve">Rules</w:t>
      </w:r>
      <w:r>
        <w:t>))</w:t>
      </w:r>
      <w:r>
        <w:rPr/>
        <w:t xml:space="preserve"> </w:t>
      </w:r>
      <w:r>
        <w:rPr>
          <w:u w:val="single"/>
        </w:rPr>
        <w:t xml:space="preserve">Except as provided in section 1 of this act, rules</w:t>
      </w:r>
      <w:r>
        <w:rPr/>
        <w:t xml:space="preserve"> adopted under this subsection must allow for a natural gas utility to be provided allowances at no cost to cover their emissions and decline proportionally with the cap, consistent with RCW 70A.65.070. Allowances allocated at no cost to natural gas utilities must be consigned to auction for the benefit of ratepayers consistent with subsection (2) of this section, deposited for compliance, or a combination of both. The rules adopted by the department pursuant to this section must include provisions directing revenues generated under this subsection to the applicable utilities.</w:t>
      </w:r>
    </w:p>
    <w:p>
      <w:pPr>
        <w:spacing w:before="0" w:after="0" w:line="408" w:lineRule="exact"/>
        <w:ind w:left="0" w:right="0" w:firstLine="576"/>
        <w:jc w:val="left"/>
      </w:pPr>
      <w:r>
        <w:rPr/>
        <w:t xml:space="preserve">(b) By October 1, 2022, the department shall adopt an allocation schedule by rule, in consultation with the utilities and transportation commission, for the first two compliance periods for the provision of allowances for the benefit of ratepayers at no cost to natural gas utilities.</w:t>
      </w:r>
    </w:p>
    <w:p>
      <w:pPr>
        <w:spacing w:before="0" w:after="0" w:line="408" w:lineRule="exact"/>
        <w:ind w:left="0" w:right="0" w:firstLine="576"/>
        <w:jc w:val="left"/>
      </w:pPr>
      <w:r>
        <w:rPr/>
        <w:t xml:space="preserve">(c) By October 1, 2028, the department shall adopt an allocation schedule by rule, in consultation with the utilities and transportation commission, for the provision of allowances for the benefit of ratepayers at no cost to natural gas utilities for the compliance periods contained within calendar years 2031 through 2040.</w:t>
      </w:r>
    </w:p>
    <w:p>
      <w:pPr>
        <w:spacing w:before="0" w:after="0" w:line="408" w:lineRule="exact"/>
        <w:ind w:left="0" w:right="0" w:firstLine="576"/>
        <w:jc w:val="left"/>
      </w:pPr>
      <w:r>
        <w:rPr/>
        <w:t xml:space="preserve">(2)(a) Beginning in 2023, 65 percent of the no cost allowances must be consigned to auction for the benefit of customers, including at a minimum eliminating any additional cost burden to low-income customers from the implementation of this chapter. Rules adopted under this subsection must increase the percentage of allowances consigned to auction by five percent each year until a total of 100 percent is reached.</w:t>
      </w:r>
    </w:p>
    <w:p>
      <w:pPr>
        <w:spacing w:before="0" w:after="0" w:line="408" w:lineRule="exact"/>
        <w:ind w:left="0" w:right="0" w:firstLine="576"/>
        <w:jc w:val="left"/>
      </w:pPr>
      <w:r>
        <w:rPr/>
        <w:t xml:space="preserve">(b) Revenues from allowances sold at auction must be returned by providing nonvolumetric credits on ratepayer utility bills, prioritizing low-income customers, or used to minimize cost impacts on low-income, residential, and small business customers through actions that include, but are not limited to, weatherization, decarbonization, conservation and efficiency services, and bill assistance. The customer benefits provided from allowances consigned to auction under this section must be in addition to existing requirements in statute, rule, or other legal requirements.</w:t>
      </w:r>
    </w:p>
    <w:p>
      <w:pPr>
        <w:spacing w:before="0" w:after="0" w:line="408" w:lineRule="exact"/>
        <w:ind w:left="0" w:right="0" w:firstLine="576"/>
        <w:jc w:val="left"/>
      </w:pPr>
      <w:r>
        <w:rPr/>
        <w:t xml:space="preserve">(c) Except for low-income customers, the customer bill credits under this subsection are reserved exclusively for customers at locations connected to a natural gas utility's system on July 25, 2021. Bill credits may not be provided to customers of the gas utility at a location connected to the system after July 25, 2021.</w:t>
      </w:r>
    </w:p>
    <w:p>
      <w:pPr>
        <w:spacing w:before="0" w:after="0" w:line="408" w:lineRule="exact"/>
        <w:ind w:left="0" w:right="0" w:firstLine="576"/>
        <w:jc w:val="left"/>
      </w:pPr>
      <w:r>
        <w:rPr/>
        <w:t xml:space="preserve">(3) In order to qualify for no cost allowances, covered entities that are natural gas utilities must provide copies of their greenhouse gas emissions reports filed with the United States environmental protection agency under 40 C.F.R. Part 98 subpart NN - suppliers of natural gas and natural gas liquids for calendar years 2015 through 2021 to the department on or before March 31, 2022. The copies of the reports must be provided in electronic form to the department, in a manner prescribed by the department. The reports must be complete and contain all information required by 40 C.F.R. Sec. 98.406 including, but not limited to, information on large end users served by the natural gas utility. For any year where a natural gas utility was not required to file this report with the United States environmental protection agency, a report may be submitted in a manner prescribed by the department containing all of the information required in the subpart NN report.</w:t>
      </w:r>
    </w:p>
    <w:p>
      <w:pPr>
        <w:spacing w:before="0" w:after="0" w:line="408" w:lineRule="exact"/>
        <w:ind w:left="0" w:right="0" w:firstLine="576"/>
        <w:jc w:val="left"/>
      </w:pPr>
      <w:r>
        <w:rPr/>
        <w:t xml:space="preserve">(4) To continue receiving no cost allowances, a natural gas utility must provide to the department the United States environmental protection agency subpart NN greenhouse gas emissions report for each reporting year in the manner and by the dates provided by RCW 70A.15.2200(5) as part of the greenhouse gas reporting requirements of this chapter.</w:t>
      </w:r>
    </w:p>
    <w:p/>
    <w:p>
      <w:pPr>
        <w:jc w:val="center"/>
      </w:pPr>
      <w:r>
        <w:rPr>
          <w:b/>
        </w:rPr>
        <w:t>--- END ---</w:t>
      </w:r>
    </w:p>
    <w:sectPr>
      <w:pgNumType w:start="1"/>
      <w:footerReference xmlns:r="http://schemas.openxmlformats.org/officeDocument/2006/relationships" r:id="R2312d0b9e5f849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4fb7437f464dae" /><Relationship Type="http://schemas.openxmlformats.org/officeDocument/2006/relationships/footer" Target="/word/footer1.xml" Id="R2312d0b9e5f8498e" /></Relationships>
</file>