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323c4f04c4b84" /></Relationships>
</file>

<file path=word/document.xml><?xml version="1.0" encoding="utf-8"?>
<w:document xmlns:w="http://schemas.openxmlformats.org/wordprocessingml/2006/main">
  <w:body>
    <w:p>
      <w:r>
        <w:t>S-1187.1</w:t>
      </w:r>
    </w:p>
    <w:p>
      <w:pPr>
        <w:jc w:val="center"/>
      </w:pPr>
      <w:r>
        <w:t>_______________________________________________</w:t>
      </w:r>
    </w:p>
    <w:p/>
    <w:p>
      <w:pPr>
        <w:jc w:val="center"/>
      </w:pPr>
      <w:r>
        <w:rPr>
          <w:b/>
        </w:rPr>
        <w:t>SENATE BILL 5689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Nobles, Riccelli, and Short</w:t>
      </w:r>
    </w:p>
    <w:p/>
    <w:p>
      <w:r>
        <w:rPr>
          <w:t xml:space="preserve">Read first time 02/06/25.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blood type information to drivers' licenses and identicards; amending RCW 46.20.161; reenacting and amending RCW 46.20.117; adding new sections to chapter 46.20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including blood type information on drivers' licenses and identification cards can enhance emergency medical response, saving time and potentially lives in critical situations. This act is intended to provide individuals the option to voluntarily include their blood type on their state-issued identification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2024 c 315 s 4 and 2024 c 162 s 3 are each reenacted and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$72, unless an applicant is:</w:t>
      </w:r>
    </w:p>
    <w:p>
      <w:pPr>
        <w:spacing w:before="0" w:after="0" w:line="408" w:lineRule="exact"/>
        <w:ind w:left="0" w:right="0" w:firstLine="576"/>
        <w:jc w:val="left"/>
      </w:pPr>
      <w:r>
        <w:rPr/>
        <w:t xml:space="preserve">(i) A recipient of continuing public assistance grants under Title 74 RCW, or a participant in the Washington women, infants, and children program. Any applicant under this subsection must be verified by documentation sufficient to demonstrate eligibility;</w:t>
      </w:r>
    </w:p>
    <w:p>
      <w:pPr>
        <w:spacing w:before="0" w:after="0" w:line="408" w:lineRule="exact"/>
        <w:ind w:left="0" w:right="0" w:firstLine="576"/>
        <w:jc w:val="left"/>
      </w:pPr>
      <w:r>
        <w:rPr/>
        <w:t xml:space="preserve">(ii) Under the age of 25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a correctional facility as defined in RCW 72.09.015, or other juvenile rehabilitation facility operated by the department of social and health services or the department of children, youth, and families; or an individual who has been released from such an institution or facility within 30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u w:val="single"/>
        </w:rPr>
        <w:t xml:space="preserve">(d) If applicable, the identicard may include an optional blood type designation consistent with RCW 46.20.161(2)(j).</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18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$9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2024 c 146 s 29 are each amended to read as follows:</w:t>
      </w:r>
    </w:p>
    <w:p>
      <w:pPr>
        <w:spacing w:before="0" w:after="0" w:line="408" w:lineRule="exact"/>
        <w:ind w:left="0" w:right="0" w:firstLine="576"/>
        <w:jc w:val="left"/>
      </w:pPr>
      <w:r>
        <w:rPr/>
        <w:t xml:space="preserve">(1) The department, upon receipt of a fee of </w:t>
      </w:r>
      <w:r>
        <w:t>((</w:t>
      </w:r>
      <w:r>
        <w:rPr>
          <w:strike/>
        </w:rPr>
        <w:t xml:space="preserve">seventy-two dollars</w:t>
      </w:r>
      <w:r>
        <w:t>))</w:t>
      </w:r>
      <w:r>
        <w:rPr/>
        <w:t xml:space="preserve"> </w:t>
      </w:r>
      <w:r>
        <w:rPr>
          <w:u w:val="single"/>
        </w:rPr>
        <w:t xml:space="preserve">$72</w:t>
      </w:r>
      <w:r>
        <w:rPr/>
        <w:t xml:space="preserve">, unless the driver's license is issued for a period other than eight years, in which case the fee shall be </w:t>
      </w:r>
      <w:r>
        <w:t>((</w:t>
      </w:r>
      <w:r>
        <w:rPr>
          <w:strike/>
        </w:rPr>
        <w:t xml:space="preserve">nine dollars</w:t>
      </w:r>
      <w:r>
        <w:t>))</w:t>
      </w:r>
      <w:r>
        <w:rPr/>
        <w:t xml:space="preserve"> </w:t>
      </w:r>
      <w:r>
        <w:rPr>
          <w:u w:val="single"/>
        </w:rPr>
        <w:t xml:space="preserve">$9</w:t>
      </w:r>
      <w:r>
        <w:rPr/>
        <w:t xml:space="preserve"> for each year that the license is issued, which includes the fee for the required photograph, shall issue to every qualifying applicant a driver's license. A driver's license issued to a person under the age of </w:t>
      </w:r>
      <w:r>
        <w:t>((</w:t>
      </w:r>
      <w:r>
        <w:rPr>
          <w:strike/>
        </w:rPr>
        <w:t xml:space="preserve">eighteen</w:t>
      </w:r>
      <w:r>
        <w:t>))</w:t>
      </w:r>
      <w:r>
        <w:rPr/>
        <w:t xml:space="preserve"> </w:t>
      </w:r>
      <w:r>
        <w:rPr>
          <w:u w:val="single"/>
        </w:rPr>
        <w:t xml:space="preserve">18</w:t>
      </w:r>
      <w:r>
        <w:rPr/>
        <w:t xml:space="preserve"> is an intermediate license, subject to the restrictions imposed under RCW 46.20.075,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w:t>
      </w:r>
      <w:r>
        <w:t>((</w:t>
      </w:r>
      <w:r>
        <w:rPr>
          <w:strike/>
        </w:rPr>
        <w:t xml:space="preserve">and</w:t>
      </w:r>
      <w:r>
        <w:t>))</w:t>
      </w:r>
    </w:p>
    <w:p>
      <w:pPr>
        <w:spacing w:before="0" w:after="0" w:line="408" w:lineRule="exact"/>
        <w:ind w:left="0" w:right="0" w:firstLine="576"/>
        <w:jc w:val="left"/>
      </w:pPr>
      <w:r>
        <w:rPr/>
        <w:t xml:space="preserve">(i) If applicable, a medical alert designation as provided in subsection (5) of this section</w:t>
      </w:r>
      <w:r>
        <w:rPr>
          <w:u w:val="single"/>
        </w:rPr>
        <w:t xml:space="preserve">; and</w:t>
      </w:r>
    </w:p>
    <w:p>
      <w:pPr>
        <w:spacing w:before="0" w:after="0" w:line="408" w:lineRule="exact"/>
        <w:ind w:left="0" w:right="0" w:firstLine="576"/>
        <w:jc w:val="left"/>
      </w:pPr>
      <w:r>
        <w:rPr>
          <w:u w:val="single"/>
        </w:rPr>
        <w:t xml:space="preserve">(j) At the option of the licensee, the inclusion of the licensee's blood type, provided that the licensee presents documentation verifying the blood type from a licensed physician, medical facility, or blood donation organization</w:t>
      </w:r>
      <w:r>
        <w:rPr/>
        <w:t xml:space="preserve">.</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establishes the person's service in the armed forces of the United States and qualifying discharge as defined in RCW 73.04.005;</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establishes the person's active duty or reserve service in the national guard and qualifying discharge as defined in RCW 73.04.005;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to submit alternate forms of documentation to apply to obtain a veteran designation on a driver's license.</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develop processes and forms to enable individuals to submit blood type documentation when applying for or renewing a driver's license or identicard.</w:t>
      </w:r>
    </w:p>
    <w:p>
      <w:pPr>
        <w:spacing w:before="0" w:after="0" w:line="408" w:lineRule="exact"/>
        <w:ind w:left="0" w:right="0" w:firstLine="576"/>
        <w:jc w:val="left"/>
      </w:pPr>
      <w:r>
        <w:rPr/>
        <w:t xml:space="preserve">(2) The department may charge an administrative fee not to exceed $2 for processing blood type designation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shall coordinate with health care providers, emergency responders, and blood donation organizations to educate the public about the availability and potential benefits of including blood type information on state-issued identification.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is authorized to adopt rules necessary to implement this act including, but not limited to, specifying acceptable forms of blood type documentation and updating existing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b1cf69c0f3ff43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62a80fbbec4540" /><Relationship Type="http://schemas.openxmlformats.org/officeDocument/2006/relationships/footer" Target="/word/footer1.xml" Id="Rb1cf69c0f3ff4387" /></Relationships>
</file>