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68b82a0174ba4" /></Relationships>
</file>

<file path=word/document.xml><?xml version="1.0" encoding="utf-8"?>
<w:document xmlns:w="http://schemas.openxmlformats.org/wordprocessingml/2006/main">
  <w:body>
    <w:p>
      <w:r>
        <w:t>S-1104.1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5675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Boehnke and Dozier</w:t>
      </w:r>
    </w:p>
    <w:p/>
    <w:p>
      <w:r>
        <w:rPr>
          <w:t xml:space="preserve">Read first time 02/05/25.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business and occupation tax exemption for manufacturing facilities and green manufacturing facilities; adding a new section to chapter 82.04 RCW; creating a new section; and providing an expiration date. 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This chapter does not apply to manufacturing facilities or green manufacturing facilities.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"Green manufacturing facility" means a manufacturing facility that has been certified by a state or nationally recognized organization that rates the sustainability of the manufacturing process.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"Manufacturing facility" means a facility that is used to manufacture, as defined in RCW 82.04.120.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January 1, 2036.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82.32.808 does not apply to this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c50690be60a416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5675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f8a2d2768407f" /><Relationship Type="http://schemas.openxmlformats.org/officeDocument/2006/relationships/footer" Target="/word/footer1.xml" Id="R0c50690be60a4163" /></Relationships>
</file>