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72269216eb94705" /></Relationships>
</file>

<file path=word/document.xml><?xml version="1.0" encoding="utf-8"?>
<w:document xmlns:w="http://schemas.openxmlformats.org/wordprocessingml/2006/main">
  <w:body>
    <w:p>
      <w:r>
        <w:t>S-1548.1</w:t>
      </w:r>
    </w:p>
    <w:p>
      <w:pPr>
        <w:jc w:val="center"/>
      </w:pPr>
      <w:r>
        <w:t>_______________________________________________</w:t>
      </w:r>
    </w:p>
    <w:p/>
    <w:p>
      <w:pPr>
        <w:jc w:val="center"/>
      </w:pPr>
      <w:r>
        <w:rPr>
          <w:b/>
        </w:rPr>
        <w:t>SUBSTITUTE SENATE BILL 5651</w:t>
      </w:r>
    </w:p>
    <w:p>
      <w:pPr>
        <w:jc w:val="center"/>
      </w:pPr>
      <w:r>
        <w:t>_______________________________________________</w:t>
      </w:r>
    </w:p>
    <w:p/>
    <w:p>
      <w:r>
        <w:rPr>
          <w:b/>
        </w:rPr>
        <w:t>State of Washington</w:t>
        <w:tab/>
        <w:tab/>
      </w:r>
      <w:r>
        <w:rPr>
          <w:b/>
        </w:rPr>
        <w:t>69th Legislature</w:t>
        <w:tab/>
      </w:r>
      <w:r>
        <w:rPr>
          <w:b/>
        </w:rPr>
        <w:t>2025 Regular Session</w:t>
      </w:r>
    </w:p>
    <w:p/>
    <w:p>
      <w:r>
        <w:rPr>
          <w:b/>
        </w:rPr>
        <w:t xml:space="preserve">By </w:t>
      </w:r>
      <w:r>
        <w:t>Senate Law &amp; Justice (originally sponsored by Senators Alvarado, Valdez, Cortes, Nobles, Salomon, Slatter, Stanford, and Trudeau)</w:t>
      </w:r>
    </w:p>
    <w:p/>
    <w:p>
      <w:r>
        <w:rPr>
          <w:t xml:space="preserve">READ FIRST TIME 02/14/25.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exemptions from garnishment; and amending RCW 6.15.010.</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6</w:t>
      </w:r>
      <w:r>
        <w:rPr/>
        <w:t xml:space="preserve">.</w:t>
      </w:r>
      <w:r>
        <w:t xml:space="preserve">15</w:t>
      </w:r>
      <w:r>
        <w:rPr/>
        <w:t xml:space="preserve">.</w:t>
      </w:r>
      <w:r>
        <w:t xml:space="preserve">010</w:t>
      </w:r>
      <w:r>
        <w:rPr/>
        <w:t xml:space="preserve"> and 2023 c 393 s 2 are each amended to read as follows:</w:t>
      </w:r>
    </w:p>
    <w:p>
      <w:pPr>
        <w:spacing w:before="0" w:after="0" w:line="408" w:lineRule="exact"/>
        <w:ind w:left="0" w:right="0" w:firstLine="576"/>
        <w:jc w:val="left"/>
      </w:pPr>
      <w:r>
        <w:rPr/>
        <w:t xml:space="preserve">(1) Except as provided in RCW 6.15.050, the following personal property is exempt from execution, attachment, and garnishment:</w:t>
      </w:r>
    </w:p>
    <w:p>
      <w:pPr>
        <w:spacing w:before="0" w:after="0" w:line="408" w:lineRule="exact"/>
        <w:ind w:left="0" w:right="0" w:firstLine="576"/>
        <w:jc w:val="left"/>
      </w:pPr>
      <w:r>
        <w:rPr/>
        <w:t xml:space="preserve">(a) All wearing apparel of every individual and family, but not to exceed $3,500 in value in furs, jewelry, and personal ornaments for any individual.</w:t>
      </w:r>
    </w:p>
    <w:p>
      <w:pPr>
        <w:spacing w:before="0" w:after="0" w:line="408" w:lineRule="exact"/>
        <w:ind w:left="0" w:right="0" w:firstLine="576"/>
        <w:jc w:val="left"/>
      </w:pPr>
      <w:r>
        <w:rPr/>
        <w:t xml:space="preserve">(b) All private libraries including electronic media, which includes audiovisual, entertainment, or reference media in digital or analogue format, of every individual, but not to exceed $3,500 in value, and all family pictures and keepsakes.</w:t>
      </w:r>
    </w:p>
    <w:p>
      <w:pPr>
        <w:spacing w:before="0" w:after="0" w:line="408" w:lineRule="exact"/>
        <w:ind w:left="0" w:right="0" w:firstLine="576"/>
        <w:jc w:val="left"/>
      </w:pPr>
      <w:r>
        <w:rPr/>
        <w:t xml:space="preserve">(c) A cell phone, personal computer, and printer.</w:t>
      </w:r>
    </w:p>
    <w:p>
      <w:pPr>
        <w:spacing w:before="0" w:after="0" w:line="408" w:lineRule="exact"/>
        <w:ind w:left="0" w:right="0" w:firstLine="576"/>
        <w:jc w:val="left"/>
      </w:pPr>
      <w:r>
        <w:rPr/>
        <w:t xml:space="preserve">(d) To each individual or, as to community property of spouses maintaining a single household as against a creditor of the community, to the community, provided that each spouse is entitled to his or her own exemptions in this subsection (1)(d):</w:t>
      </w:r>
    </w:p>
    <w:p>
      <w:pPr>
        <w:spacing w:before="0" w:after="0" w:line="408" w:lineRule="exact"/>
        <w:ind w:left="0" w:right="0" w:firstLine="576"/>
        <w:jc w:val="left"/>
      </w:pPr>
      <w:r>
        <w:rPr/>
        <w:t xml:space="preserve">(i) All household goods, appliances, furniture, and home and yard equipment, not to exceed $6,500 in value for the individual, said amount to include provisions and fuel for comfortable maintenance;</w:t>
      </w:r>
    </w:p>
    <w:p>
      <w:pPr>
        <w:spacing w:before="0" w:after="0" w:line="408" w:lineRule="exact"/>
        <w:ind w:left="0" w:right="0" w:firstLine="576"/>
        <w:jc w:val="left"/>
      </w:pPr>
      <w:r>
        <w:rPr/>
        <w:t xml:space="preserve">(ii) In a bankruptcy case, any other personal property, except personal earnings as provided under RCW 6.15.050(1), not to exceed $10,000 in value. The value shall be determined as of the date the bankruptcy petition is filed;</w:t>
      </w:r>
    </w:p>
    <w:p>
      <w:pPr>
        <w:spacing w:before="0" w:after="0" w:line="408" w:lineRule="exact"/>
        <w:ind w:left="0" w:right="0" w:firstLine="576"/>
        <w:jc w:val="left"/>
      </w:pPr>
      <w:r>
        <w:rPr/>
        <w:t xml:space="preserve">(iii)</w:t>
      </w:r>
      <w:r>
        <w:rPr>
          <w:u w:val="single"/>
        </w:rPr>
        <w:t xml:space="preserve">(A)</w:t>
      </w:r>
      <w:r>
        <w:rPr/>
        <w:t xml:space="preserve"> Other than in a bankruptcy case as described in (d)(ii) of this subsection, other personal property, except personal earnings as provided under RCW 6.15.050(1), not to exceed </w:t>
      </w:r>
      <w:r>
        <w:t>((</w:t>
      </w:r>
      <w:r>
        <w:rPr>
          <w:strike/>
        </w:rPr>
        <w:t xml:space="preserve">$3,000</w:t>
      </w:r>
      <w:r>
        <w:t>))</w:t>
      </w:r>
      <w:r>
        <w:rPr/>
        <w:t xml:space="preserve"> </w:t>
      </w:r>
      <w:r>
        <w:rPr>
          <w:u w:val="single"/>
        </w:rPr>
        <w:t xml:space="preserve">$6,000</w:t>
      </w:r>
      <w:r>
        <w:rPr/>
        <w:t xml:space="preserve"> in value, of which not more than:</w:t>
      </w:r>
    </w:p>
    <w:p>
      <w:pPr>
        <w:spacing w:before="0" w:after="0" w:line="408" w:lineRule="exact"/>
        <w:ind w:left="0" w:right="0" w:firstLine="576"/>
        <w:jc w:val="left"/>
      </w:pPr>
      <w:r>
        <w:t>((</w:t>
      </w:r>
      <w:r>
        <w:rPr>
          <w:strike/>
        </w:rPr>
        <w:t xml:space="preserve">(A)</w:t>
      </w:r>
      <w:r>
        <w:t>))</w:t>
      </w:r>
      <w:r>
        <w:rPr/>
        <w:t xml:space="preserve"> </w:t>
      </w:r>
      <w:r>
        <w:rPr>
          <w:u w:val="single"/>
        </w:rPr>
        <w:t xml:space="preserve">(I)</w:t>
      </w:r>
      <w:r>
        <w:rPr/>
        <w:t xml:space="preserve"> For all debts except private student loan debt and consumer debt, </w:t>
      </w:r>
      <w:r>
        <w:t>((</w:t>
      </w:r>
      <w:r>
        <w:rPr>
          <w:strike/>
        </w:rPr>
        <w:t xml:space="preserve">$500</w:t>
      </w:r>
      <w:r>
        <w:t>))</w:t>
      </w:r>
      <w:r>
        <w:rPr/>
        <w:t xml:space="preserve"> </w:t>
      </w:r>
      <w:r>
        <w:rPr>
          <w:u w:val="single"/>
        </w:rPr>
        <w:t xml:space="preserve">$5,000</w:t>
      </w:r>
      <w:r>
        <w:rPr/>
        <w:t xml:space="preserve"> in value may consist of bank accounts, savings and loan accounts, stocks, bonds, or other securities. The maximum exemption under this subsection (1)(d)(iii)(A)</w:t>
      </w:r>
      <w:r>
        <w:rPr>
          <w:u w:val="single"/>
        </w:rPr>
        <w:t xml:space="preserve">(I) shall be automatically protected and</w:t>
      </w:r>
      <w:r>
        <w:rPr/>
        <w:t xml:space="preserve"> may not exceed </w:t>
      </w:r>
      <w:r>
        <w:t>((</w:t>
      </w:r>
      <w:r>
        <w:rPr>
          <w:strike/>
        </w:rPr>
        <w:t xml:space="preserve">$500</w:t>
      </w:r>
      <w:r>
        <w:t>))</w:t>
      </w:r>
      <w:r>
        <w:rPr/>
        <w:t xml:space="preserve"> </w:t>
      </w:r>
      <w:r>
        <w:rPr>
          <w:u w:val="single"/>
        </w:rPr>
        <w:t xml:space="preserve">$5,000</w:t>
      </w:r>
      <w:r>
        <w:rPr/>
        <w:t xml:space="preserve">, regardless of the number of existing separate bank accounts, savings and loan accounts, stocks, bonds, or other securities.</w:t>
      </w:r>
    </w:p>
    <w:p>
      <w:pPr>
        <w:spacing w:before="0" w:after="0" w:line="408" w:lineRule="exact"/>
        <w:ind w:left="0" w:right="0" w:firstLine="576"/>
        <w:jc w:val="left"/>
      </w:pPr>
      <w:r>
        <w:t>((</w:t>
      </w:r>
      <w:r>
        <w:rPr>
          <w:strike/>
        </w:rPr>
        <w:t xml:space="preserve">(B)</w:t>
      </w:r>
      <w:r>
        <w:t>))</w:t>
      </w:r>
      <w:r>
        <w:rPr/>
        <w:t xml:space="preserve"> </w:t>
      </w:r>
      <w:r>
        <w:rPr>
          <w:u w:val="single"/>
        </w:rPr>
        <w:t xml:space="preserve">(II)</w:t>
      </w:r>
      <w:r>
        <w:rPr/>
        <w:t xml:space="preserve"> For all private student loan debt, </w:t>
      </w:r>
      <w:r>
        <w:t>((</w:t>
      </w:r>
      <w:r>
        <w:rPr>
          <w:strike/>
        </w:rPr>
        <w:t xml:space="preserve">$2,500</w:t>
      </w:r>
      <w:r>
        <w:t>))</w:t>
      </w:r>
      <w:r>
        <w:rPr/>
        <w:t xml:space="preserve"> </w:t>
      </w:r>
      <w:r>
        <w:rPr>
          <w:u w:val="single"/>
        </w:rPr>
        <w:t xml:space="preserve">$5,000</w:t>
      </w:r>
      <w:r>
        <w:rPr/>
        <w:t xml:space="preserve"> in value may consist of bank accounts, savings and loan accounts, stocks, bonds, or other securities. The maximum exemption under this subsection (1)(d)(iii)</w:t>
      </w:r>
      <w:r>
        <w:t>((</w:t>
      </w:r>
      <w:r>
        <w:rPr>
          <w:strike/>
        </w:rPr>
        <w:t xml:space="preserve">(B)</w:t>
      </w:r>
      <w:r>
        <w:t>))</w:t>
      </w:r>
      <w:r>
        <w:rPr/>
        <w:t xml:space="preserve"> </w:t>
      </w:r>
      <w:r>
        <w:rPr>
          <w:u w:val="single"/>
        </w:rPr>
        <w:t xml:space="preserve">(A)(II) shall be automatically protected and</w:t>
      </w:r>
      <w:r>
        <w:rPr/>
        <w:t xml:space="preserve"> may not exceed </w:t>
      </w:r>
      <w:r>
        <w:t>((</w:t>
      </w:r>
      <w:r>
        <w:rPr>
          <w:strike/>
        </w:rPr>
        <w:t xml:space="preserve">$2,500</w:t>
      </w:r>
      <w:r>
        <w:t>))</w:t>
      </w:r>
      <w:r>
        <w:rPr/>
        <w:t xml:space="preserve"> </w:t>
      </w:r>
      <w:r>
        <w:rPr>
          <w:u w:val="single"/>
        </w:rPr>
        <w:t xml:space="preserve">$5,000</w:t>
      </w:r>
      <w:r>
        <w:rPr/>
        <w:t xml:space="preserve">, regardless of the number of existing separate bank accounts, savings and loan accounts, stocks, bonds, or other securities.</w:t>
      </w:r>
    </w:p>
    <w:p>
      <w:pPr>
        <w:spacing w:before="0" w:after="0" w:line="408" w:lineRule="exact"/>
        <w:ind w:left="0" w:right="0" w:firstLine="576"/>
        <w:jc w:val="left"/>
      </w:pPr>
      <w:r>
        <w:t>((</w:t>
      </w:r>
      <w:r>
        <w:rPr>
          <w:strike/>
        </w:rPr>
        <w:t xml:space="preserve">(C)</w:t>
      </w:r>
      <w:r>
        <w:t>))</w:t>
      </w:r>
      <w:r>
        <w:rPr/>
        <w:t xml:space="preserve"> </w:t>
      </w:r>
      <w:r>
        <w:rPr>
          <w:u w:val="single"/>
        </w:rPr>
        <w:t xml:space="preserve">(III)</w:t>
      </w:r>
      <w:r>
        <w:rPr/>
        <w:t xml:space="preserve"> For all consumer debt, </w:t>
      </w:r>
      <w:r>
        <w:t>((</w:t>
      </w:r>
      <w:r>
        <w:rPr>
          <w:strike/>
        </w:rPr>
        <w:t xml:space="preserve">$2,000</w:t>
      </w:r>
      <w:r>
        <w:t>))</w:t>
      </w:r>
      <w:r>
        <w:rPr/>
        <w:t xml:space="preserve"> </w:t>
      </w:r>
      <w:r>
        <w:rPr>
          <w:u w:val="single"/>
        </w:rPr>
        <w:t xml:space="preserve">$5,000</w:t>
      </w:r>
      <w:r>
        <w:rPr/>
        <w:t xml:space="preserve"> in value may consist of bank accounts, savings and loan accounts, stocks, bonds, or other securities. The maximum exemption under this subsection (1)(d)(iii)</w:t>
      </w:r>
      <w:r>
        <w:t>((</w:t>
      </w:r>
      <w:r>
        <w:rPr>
          <w:strike/>
        </w:rPr>
        <w:t xml:space="preserve">(C)</w:t>
      </w:r>
      <w:r>
        <w:t>))</w:t>
      </w:r>
      <w:r>
        <w:rPr/>
        <w:t xml:space="preserve"> </w:t>
      </w:r>
      <w:r>
        <w:rPr>
          <w:u w:val="single"/>
        </w:rPr>
        <w:t xml:space="preserve">(A)(III) shall be automatically protected and</w:t>
      </w:r>
      <w:r>
        <w:rPr/>
        <w:t xml:space="preserve"> may not exceed </w:t>
      </w:r>
      <w:r>
        <w:t>((</w:t>
      </w:r>
      <w:r>
        <w:rPr>
          <w:strike/>
        </w:rPr>
        <w:t xml:space="preserve">$2,000</w:t>
      </w:r>
      <w:r>
        <w:t>))</w:t>
      </w:r>
      <w:r>
        <w:rPr/>
        <w:t xml:space="preserve"> </w:t>
      </w:r>
      <w:r>
        <w:rPr>
          <w:u w:val="single"/>
        </w:rPr>
        <w:t xml:space="preserve">$5,000</w:t>
      </w:r>
      <w:r>
        <w:rPr/>
        <w:t xml:space="preserve">, regardless of the number of existing separate bank accounts, savings and loan accounts, stocks, bonds, or other securities</w:t>
      </w:r>
      <w:r>
        <w:rPr>
          <w:u w:val="single"/>
        </w:rPr>
        <w:t xml:space="preserve">.</w:t>
      </w:r>
    </w:p>
    <w:p>
      <w:pPr>
        <w:spacing w:before="0" w:after="0" w:line="408" w:lineRule="exact"/>
        <w:ind w:left="0" w:right="0" w:firstLine="576"/>
        <w:jc w:val="left"/>
      </w:pPr>
      <w:r>
        <w:rPr>
          <w:u w:val="single"/>
        </w:rPr>
        <w:t xml:space="preserve">(B) Beginning April 1, 2027, the dollar amounts in this subsection (1)(d)(iii) shall be adjusted every three years by the department of revenue to:</w:t>
      </w:r>
    </w:p>
    <w:p>
      <w:pPr>
        <w:spacing w:before="0" w:after="0" w:line="408" w:lineRule="exact"/>
        <w:ind w:left="0" w:right="0" w:firstLine="576"/>
        <w:jc w:val="left"/>
      </w:pPr>
      <w:r>
        <w:rPr>
          <w:u w:val="single"/>
        </w:rPr>
        <w:t xml:space="preserve">(I) Reflect the change in the consumer price index for all urban consumers, published by the United States department of labor, for the most recent three-year period; and</w:t>
      </w:r>
    </w:p>
    <w:p>
      <w:pPr>
        <w:spacing w:before="0" w:after="0" w:line="408" w:lineRule="exact"/>
        <w:ind w:left="0" w:right="0" w:firstLine="576"/>
        <w:jc w:val="left"/>
      </w:pPr>
      <w:r>
        <w:rPr>
          <w:u w:val="single"/>
        </w:rPr>
        <w:t xml:space="preserve">(II) Round to the nearest $25 the dollar amount that represents such change</w:t>
      </w:r>
      <w:r>
        <w:rPr/>
        <w:t xml:space="preserve">;</w:t>
      </w:r>
    </w:p>
    <w:p>
      <w:pPr>
        <w:spacing w:before="0" w:after="0" w:line="408" w:lineRule="exact"/>
        <w:ind w:left="0" w:right="0" w:firstLine="576"/>
        <w:jc w:val="left"/>
      </w:pPr>
      <w:r>
        <w:rPr/>
        <w:t xml:space="preserve">(iv) A motor vehicle not to exceed $15,000 in aggregate value;</w:t>
      </w:r>
    </w:p>
    <w:p>
      <w:pPr>
        <w:spacing w:before="0" w:after="0" w:line="408" w:lineRule="exact"/>
        <w:ind w:left="0" w:right="0" w:firstLine="576"/>
        <w:jc w:val="left"/>
      </w:pPr>
      <w:r>
        <w:rPr/>
        <w:t xml:space="preserve">(v) Any past due, current, or future child support</w:t>
      </w:r>
      <w:r>
        <w:rPr>
          <w:u w:val="single"/>
        </w:rPr>
        <w:t xml:space="preserve">, alimony, or spousal support</w:t>
      </w:r>
      <w:r>
        <w:rPr/>
        <w:t xml:space="preserve"> paid or owed to the debtor, which can be traced;</w:t>
      </w:r>
    </w:p>
    <w:p>
      <w:pPr>
        <w:spacing w:before="0" w:after="0" w:line="408" w:lineRule="exact"/>
        <w:ind w:left="0" w:right="0" w:firstLine="576"/>
        <w:jc w:val="left"/>
      </w:pPr>
      <w:r>
        <w:rPr/>
        <w:t xml:space="preserve">(vi) All professionally prescribed health aids for the debtor or a dependent of the debtor;</w:t>
      </w:r>
    </w:p>
    <w:p>
      <w:pPr>
        <w:spacing w:before="0" w:after="0" w:line="408" w:lineRule="exact"/>
        <w:ind w:left="0" w:right="0" w:firstLine="576"/>
        <w:jc w:val="left"/>
      </w:pPr>
      <w:r>
        <w:rPr/>
        <w:t xml:space="preserve">(vii) To any individual, the right to or proceeds of a payment not to exceed twenty thousand dollars on account of personal bodily injury, not including pain and suffering or compensation for actual pecuniary loss, of the debtor or an individual of whom the debtor is a dependent; or the right to or proceeds of a payment in compensation of loss of future earnings of the debtor or an individual of whom the debtor is or was a dependent, to the extent reasonably necessary for the support of the debtor and any dependent of the debtor; and</w:t>
      </w:r>
    </w:p>
    <w:p>
      <w:pPr>
        <w:spacing w:before="0" w:after="0" w:line="408" w:lineRule="exact"/>
        <w:ind w:left="0" w:right="0" w:firstLine="576"/>
        <w:jc w:val="left"/>
      </w:pPr>
      <w:r>
        <w:rPr/>
        <w:t xml:space="preserve">(viii) In a bankruptcy case, the right to or proceeds of personal injury of the debtor or an individual of whom the debtor is a dependent; or the right to or proceeds of a payment in compensation of loss of future earnings of the debtor or an individual of whom the debtor is or was a dependent are free of the enforcement of the claims of creditors, except to the extent such claims are for the satisfaction of any liens or subrogation claims arising out of the claims for personal injury or death. The exemption under this subsection (1)(d)(viii) does not apply to the right of the state of Washington, or any agent or assignee of the state, as a lienholder or subrogee under RCW 43.20B.060.</w:t>
      </w:r>
    </w:p>
    <w:p>
      <w:pPr>
        <w:spacing w:before="0" w:after="0" w:line="408" w:lineRule="exact"/>
        <w:ind w:left="0" w:right="0" w:firstLine="576"/>
        <w:jc w:val="left"/>
      </w:pPr>
      <w:r>
        <w:rPr/>
        <w:t xml:space="preserve">(e) To any individual, the tools, instruments, materials, and supplies used to carry on his or her trade not to exceed $15,000 in value.</w:t>
      </w:r>
    </w:p>
    <w:p>
      <w:pPr>
        <w:spacing w:before="0" w:after="0" w:line="408" w:lineRule="exact"/>
        <w:ind w:left="0" w:right="0" w:firstLine="576"/>
        <w:jc w:val="left"/>
      </w:pPr>
      <w:r>
        <w:rPr/>
        <w:t xml:space="preserve">(f) Tuition units, under chapter 28B.95 RCW, purchased more than two years prior to the date of a bankruptcy filing or court judgment, and contributions to any other qualified tuition program under 26 U.S.C. Sec. 529 of the internal revenue code of 1986, as amended, and to a Coverdell education savings account, also known as an education individual retirement account, under 26 U.S.C. Sec. 530 of the internal revenue code of 1986, as amended, contributed more than two years prior to the date of a bankruptcy filing or court judgment.</w:t>
      </w:r>
    </w:p>
    <w:p>
      <w:pPr>
        <w:spacing w:before="0" w:after="0" w:line="408" w:lineRule="exact"/>
        <w:ind w:left="0" w:right="0" w:firstLine="576"/>
        <w:jc w:val="left"/>
      </w:pPr>
      <w:r>
        <w:rPr/>
        <w:t xml:space="preserve">(2) For purposes of this section, "value" means the reasonable market value of the debtor's interest in an article or item at the time it is selected for exemption, exclusive of all liens and encumbrances thereon.</w:t>
      </w:r>
    </w:p>
    <w:p>
      <w:pPr>
        <w:spacing w:before="0" w:after="0" w:line="408" w:lineRule="exact"/>
        <w:ind w:left="0" w:right="0" w:firstLine="576"/>
        <w:jc w:val="left"/>
      </w:pPr>
      <w:r>
        <w:rPr/>
        <w:t xml:space="preserve">(3) In the case of married persons, each spouse is entitled to the exemptions provided in this section, which may be combined with the other spouse's exemption in the same property or taken in different exempt property.</w:t>
      </w:r>
    </w:p>
    <w:p/>
    <w:p>
      <w:pPr>
        <w:jc w:val="center"/>
      </w:pPr>
      <w:r>
        <w:rPr>
          <w:b/>
        </w:rPr>
        <w:t>--- END ---</w:t>
      </w:r>
    </w:p>
    <w:sectPr>
      <w:pgNumType w:start="1"/>
      <w:footerReference xmlns:r="http://schemas.openxmlformats.org/officeDocument/2006/relationships" r:id="Rab31d03543a748ee"/>
      <w:pgMar w:top="720" w:right="1008" w:bottom="475" w:left="129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5651</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219a864d76594faf" /><Relationship Type="http://schemas.openxmlformats.org/officeDocument/2006/relationships/footer" Target="/word/footer1.xml" Id="Rab31d03543a748ee" /></Relationships>
</file>