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8dde721c844843" /></Relationships>
</file>

<file path=word/document.xml><?xml version="1.0" encoding="utf-8"?>
<w:document xmlns:w="http://schemas.openxmlformats.org/wordprocessingml/2006/main">
  <w:body>
    <w:p>
      <w:r>
        <w:t>S-0852.4</w:t>
      </w:r>
    </w:p>
    <w:p>
      <w:pPr>
        <w:jc w:val="center"/>
      </w:pPr>
      <w:r>
        <w:t>_______________________________________________</w:t>
      </w:r>
    </w:p>
    <w:p/>
    <w:p>
      <w:pPr>
        <w:jc w:val="center"/>
      </w:pPr>
      <w:r>
        <w:rPr>
          <w:b/>
        </w:rPr>
        <w:t>SENATE BILL 5626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Lovelett, Valdez, Cortes, Alvarado, Orwall, Kauffman, Slatter, Dhingra, Frame, Hasegawa, Nobles, Stanford, and C. Wilson</w:t>
      </w:r>
    </w:p>
    <w:p/>
    <w:p>
      <w:r>
        <w:rPr>
          <w:t xml:space="preserve">Read first time 01/31/25.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wage replacement program for certain Washington workers excluded from unemployment insurance; amending RCW 50.29.041 and 50.24.014; reenacting and amending RCW 42.56.410 and 50.29.025; adding a new chapter to Title 50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w:t>
      </w:r>
    </w:p>
    <w:p>
      <w:pPr>
        <w:spacing w:before="0" w:after="0" w:line="408" w:lineRule="exact"/>
        <w:ind w:left="0" w:right="0" w:firstLine="576"/>
        <w:jc w:val="left"/>
      </w:pPr>
      <w:r>
        <w:rPr/>
        <w:t xml:space="preserve">(1) When unemployment insurance was established by the United States congress and the state legislature, the legislature explicitly recognized that economic insecurity caused by unemployment is the greatest hazard of our economic life that falls with crushing force upon the unemployed worker, which therefore requires the compulsory setting aside of unemployment reserves to reduce the suffering caused by unemployment to a minimum. Unemployment insurance is essential to ensure that individuals who lose income can survive and meet their basic needs during periods they are unable to find stable work.</w:t>
      </w:r>
    </w:p>
    <w:p>
      <w:pPr>
        <w:spacing w:before="0" w:after="0" w:line="408" w:lineRule="exact"/>
        <w:ind w:left="0" w:right="0" w:firstLine="576"/>
        <w:jc w:val="left"/>
      </w:pPr>
      <w:r>
        <w:rPr/>
        <w:t xml:space="preserve">(2) Many immigrant workers, however, are not eligible for unemployment insurance and have not received any assistance from this jointly administered state and federal insurance program. RCW 50.20.098 provides that unemployment insurance benefits shall not be payable unless the individual was lawfully admitted for permanent residence, was lawfully present for purposes of performing such services, or otherwise was permanently residing in the United States under color of law at the time such services were performed. Title 8 U.S.C. Sec. 1621(d) requires that states wishing to extend benefits beyond a short list of qualified immigrants must affirmatively do so. Those ineligible to receive unemployment benefits include workers without work authorization, workers whose work authorization has expired or is awaiting renewal, and workers who recently regularized their immigration status.</w:t>
      </w:r>
    </w:p>
    <w:p>
      <w:pPr>
        <w:spacing w:before="0" w:after="0" w:line="408" w:lineRule="exact"/>
        <w:ind w:left="0" w:right="0" w:firstLine="576"/>
        <w:jc w:val="left"/>
      </w:pPr>
      <w:r>
        <w:rPr/>
        <w:t xml:space="preserve">(3) Ineligibility for unemployment benefits has devastated immigrant communities during the pandemic economic crisis, particularly immigrants working in low-wage industries. Several of the industries that have experienced the highest rates of job loss in Washington due to the pandemic are low-wage sectors with the highest numbers of immigrant workers including the restaurant, hotel, retail, and construction industries. Economists predict large-scale permanent job loss and long-term unemployment as the effects of the pandemic are similar to the great recession of 2008. Without access to unemployment benefits among other critical safety net programs, Washington's immigrant communities face deep economic devastation for years to come. Prior to the pandemic, the poverty rate of immigrants in Washington was already high, with 18 percent of the state's immigrant residents living in poverty compared to 12 percent of United States born residents. The crisis is expected to significantly expand this disparity.</w:t>
      </w:r>
    </w:p>
    <w:p>
      <w:pPr>
        <w:spacing w:before="0" w:after="0" w:line="408" w:lineRule="exact"/>
        <w:ind w:left="0" w:right="0" w:firstLine="576"/>
        <w:jc w:val="left"/>
      </w:pPr>
      <w:r>
        <w:rPr/>
        <w:t xml:space="preserve">(4) The fiscal policy institute reports that Washington employers have contributed nearly $400,000,000 to national and state unemployment trust funds between the years 2010-2019 on behalf of undocumented workers.</w:t>
      </w:r>
    </w:p>
    <w:p>
      <w:pPr>
        <w:spacing w:before="0" w:after="0" w:line="408" w:lineRule="exact"/>
        <w:ind w:left="0" w:right="0" w:firstLine="576"/>
        <w:jc w:val="left"/>
      </w:pPr>
      <w:r>
        <w:rPr/>
        <w:t xml:space="preserve">(5) To support the survival of Washington's immigrant workers and families during periods of crisis, particularly low-income households, and to provide the safety net that United States born Washington residents can access, the legislature intends to establish a weekly wage replacement state program similar to the state and federal unemployment insurance program for workers who are unemployed and not eligible for the state and federal unemployment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addition, the definitions in chapter 50.04 RCW apply, except as otherwise provided in this section.</w:t>
      </w:r>
    </w:p>
    <w:p>
      <w:pPr>
        <w:spacing w:before="0" w:after="0" w:line="408" w:lineRule="exact"/>
        <w:ind w:left="0" w:right="0" w:firstLine="576"/>
        <w:jc w:val="left"/>
      </w:pPr>
      <w:r>
        <w:rPr/>
        <w:t xml:space="preserve">(1) "Application for initial determination" has the meaning provided in RCW 50.20.140.</w:t>
      </w:r>
    </w:p>
    <w:p>
      <w:pPr>
        <w:spacing w:before="0" w:after="0" w:line="408" w:lineRule="exact"/>
        <w:ind w:left="0" w:right="0" w:firstLine="576"/>
        <w:jc w:val="left"/>
      </w:pPr>
      <w:r>
        <w:rPr/>
        <w:t xml:space="preserve">(2) "Benefit" or "benefits" means the compensation payable to a claimant, as provided in either this title or this chapter with respect to the claimant's unemployment.</w:t>
      </w:r>
    </w:p>
    <w:p>
      <w:pPr>
        <w:spacing w:before="0" w:after="0" w:line="408" w:lineRule="exact"/>
        <w:ind w:left="0" w:right="0" w:firstLine="576"/>
        <w:jc w:val="left"/>
      </w:pPr>
      <w:r>
        <w:rPr/>
        <w:t xml:space="preserve">(3) "Claimant" means an individual applying for benefits under this chapter.</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"Employment" has the meaning provided in RCW 50.04.100, subject to the provisions of RCW 50.04.110, 50.04.120 through 50.04.205, and 50.04.210 through 50.04.280. The provisions of RCW 50.04.206 do not apply to the definition of "employment" for this chapter.</w:t>
      </w:r>
    </w:p>
    <w:p>
      <w:pPr>
        <w:spacing w:before="0" w:after="0" w:line="408" w:lineRule="exact"/>
        <w:ind w:left="0" w:right="0" w:firstLine="576"/>
        <w:jc w:val="left"/>
      </w:pPr>
      <w:r>
        <w:rPr/>
        <w:t xml:space="preserve">(b) "Employment" does not include service that is performed by a nonresident for the period the nonresident is temporarily present in the United States as a nonimmigrant under subparagraph (F), (H)(ii), (H)(iii), or (J) of 8 U.S.C. Sec. 1101(a)(15) of the immigration and nationality act, as amended as of the effective date of this section, and that is performed to carry out the purpose specified in the applicable subparagraph of the immigration and nationality act.</w:t>
      </w:r>
    </w:p>
    <w:p>
      <w:pPr>
        <w:spacing w:before="0" w:after="0" w:line="408" w:lineRule="exact"/>
        <w:ind w:left="0" w:right="0" w:firstLine="576"/>
        <w:jc w:val="left"/>
      </w:pPr>
      <w:r>
        <w:rPr/>
        <w:t xml:space="preserve">(6)(a) "Resident of the state of Washington" means a claimant who takes actions indicating they intend to live in Washington state on more than a temporary or transient basis throughout the duration of receiving benefits under this chapter. Under this chapter, a claimant is a resident of the state of Washington if the claimant:</w:t>
      </w:r>
    </w:p>
    <w:p>
      <w:pPr>
        <w:spacing w:before="0" w:after="0" w:line="408" w:lineRule="exact"/>
        <w:ind w:left="0" w:right="0" w:firstLine="576"/>
        <w:jc w:val="left"/>
      </w:pPr>
      <w:r>
        <w:rPr/>
        <w:t xml:space="preserve">(i) Maintains a residence in Washington for personal use with a utility bill showing their full name and Washington state address;</w:t>
      </w:r>
    </w:p>
    <w:p>
      <w:pPr>
        <w:spacing w:before="0" w:after="0" w:line="408" w:lineRule="exact"/>
        <w:ind w:left="0" w:right="0" w:firstLine="576"/>
        <w:jc w:val="left"/>
      </w:pPr>
      <w:r>
        <w:rPr/>
        <w:t xml:space="preserve">(ii) Lives in a motor home or vessel that is not permanently attached to any real property if the claimant previously lived in this state and does not have a permanent residence in any other state;</w:t>
      </w:r>
    </w:p>
    <w:p>
      <w:pPr>
        <w:spacing w:before="0" w:after="0" w:line="408" w:lineRule="exact"/>
        <w:ind w:left="0" w:right="0" w:firstLine="576"/>
        <w:jc w:val="left"/>
      </w:pPr>
      <w:r>
        <w:rPr/>
        <w:t xml:space="preserve">(iii) Is attending school in this state and paying tuition as a Washington resident, is a custodial parent with a child attending a public school in this state, or has correspondence from a school in this state showing their full name and Washington state address;</w:t>
      </w:r>
    </w:p>
    <w:p>
      <w:pPr>
        <w:spacing w:before="0" w:after="0" w:line="408" w:lineRule="exact"/>
        <w:ind w:left="0" w:right="0" w:firstLine="576"/>
        <w:jc w:val="left"/>
      </w:pPr>
      <w:r>
        <w:rPr/>
        <w:t xml:space="preserve">(iv) Has a Washington state identification card showing their full name and Washington state address;</w:t>
      </w:r>
    </w:p>
    <w:p>
      <w:pPr>
        <w:spacing w:before="0" w:after="0" w:line="408" w:lineRule="exact"/>
        <w:ind w:left="0" w:right="0" w:firstLine="576"/>
        <w:jc w:val="left"/>
      </w:pPr>
      <w:r>
        <w:rPr/>
        <w:t xml:space="preserve">(v) Has a current library card issued in this state;</w:t>
      </w:r>
    </w:p>
    <w:p>
      <w:pPr>
        <w:spacing w:before="0" w:after="0" w:line="408" w:lineRule="exact"/>
        <w:ind w:left="0" w:right="0" w:firstLine="576"/>
        <w:jc w:val="left"/>
      </w:pPr>
      <w:r>
        <w:rPr/>
        <w:t xml:space="preserve">(vi) Has correspondence from a community or faith-based organization in this state showing their full name and Washington state address; or</w:t>
      </w:r>
    </w:p>
    <w:p>
      <w:pPr>
        <w:spacing w:before="0" w:after="0" w:line="408" w:lineRule="exact"/>
        <w:ind w:left="0" w:right="0" w:firstLine="576"/>
        <w:jc w:val="left"/>
      </w:pPr>
      <w:r>
        <w:rPr/>
        <w:t xml:space="preserve">(vii) Has a medical document showing their full name and Washington state address.</w:t>
      </w:r>
    </w:p>
    <w:p>
      <w:pPr>
        <w:spacing w:before="0" w:after="0" w:line="408" w:lineRule="exact"/>
        <w:ind w:left="0" w:right="0" w:firstLine="576"/>
        <w:jc w:val="left"/>
      </w:pPr>
      <w:r>
        <w:rPr/>
        <w:t xml:space="preserve">(b) The actions and documentation outlined in this subsection (6) are a nonexhaustive list, and the third-party administrator may adopt additional methods by which a claimant may prove they are a resident of the state of Washington.</w:t>
      </w:r>
    </w:p>
    <w:p>
      <w:pPr>
        <w:spacing w:before="0" w:after="0" w:line="408" w:lineRule="exact"/>
        <w:ind w:left="0" w:right="0" w:firstLine="576"/>
        <w:jc w:val="left"/>
      </w:pPr>
      <w:r>
        <w:rPr/>
        <w:t xml:space="preserve">(7) "Third-party administrator" means an entity with which the department contracts to administer payments to eligible individuals under this chapter.</w:t>
      </w:r>
    </w:p>
    <w:p>
      <w:pPr>
        <w:spacing w:before="0" w:after="0" w:line="408" w:lineRule="exact"/>
        <w:ind w:left="0" w:right="0" w:firstLine="576"/>
        <w:jc w:val="left"/>
      </w:pPr>
      <w:r>
        <w:rPr/>
        <w:t xml:space="preserve">(8) "Week of unemployment" means any week during which a claimant, including a self-employed claimant:</w:t>
      </w:r>
    </w:p>
    <w:p>
      <w:pPr>
        <w:spacing w:before="0" w:after="0" w:line="408" w:lineRule="exact"/>
        <w:ind w:left="0" w:right="0" w:firstLine="576"/>
        <w:jc w:val="left"/>
      </w:pPr>
      <w:r>
        <w:rPr/>
        <w:t xml:space="preserve">(a) Performs no services and with respect to which no remuneration is payable to the claimant; or</w:t>
      </w:r>
    </w:p>
    <w:p>
      <w:pPr>
        <w:spacing w:before="0" w:after="0" w:line="408" w:lineRule="exact"/>
        <w:ind w:left="0" w:right="0" w:firstLine="576"/>
        <w:jc w:val="left"/>
      </w:pPr>
      <w:r>
        <w:rPr/>
        <w:t xml:space="preserve">(b) Performs less than full-time work if the remuneration payable to the claimant with respect to such week is less than one and one-third times the individual's weekly benefit amount plus $5.00.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wage replacement account is created in the custody of the state treasurer. Revenues to the account must consist of appropriations and transfers by the legislature and all other funding directed for deposit into the account. Expenditures from the account may be used only for providing benefits under this chapter to eligible and qualified claimants, contracting with community-based organizations to notify individuals who may be eligible for benefits under this chapter, administration of the advisory committee of this act, the department's administrative costs, and third-party administrators under this chapter. The account is subject to the allotment procedures under chapter 43.88 RCW, but an appropriation is not required for expenditures.</w:t>
      </w:r>
    </w:p>
    <w:p>
      <w:pPr>
        <w:spacing w:before="0" w:after="0" w:line="408" w:lineRule="exact"/>
        <w:ind w:left="0" w:right="0" w:firstLine="576"/>
        <w:jc w:val="left"/>
      </w:pPr>
      <w:r>
        <w:rPr/>
        <w:t xml:space="preserve">(2)(a) The department shall select a third-party administrator by July 1, 2026. At a minimum, the third-party administrator must have experience building and operating financial benefit systems that are proven to be accessible and responsive to the target population and demonstrated mechanisms to prevent disclosure of confidential or private information. The department may adopt rules for selecting and replacing the third-party administrator.</w:t>
      </w:r>
    </w:p>
    <w:p>
      <w:pPr>
        <w:spacing w:before="0" w:after="0" w:line="408" w:lineRule="exact"/>
        <w:ind w:left="0" w:right="0" w:firstLine="576"/>
        <w:jc w:val="left"/>
      </w:pPr>
      <w:r>
        <w:rPr/>
        <w:t xml:space="preserve">(b) Each quarter, to the extent allowed by the United States department of labor, employment and training administration, the department shall allocate the money in the wage replacement account to one or more third-party administrators for the purpose of providing benefits to eligible and qualified claimants and for contracting with community-based organizations to notify individuals who may be eligible for this program. </w:t>
      </w:r>
    </w:p>
    <w:p>
      <w:pPr>
        <w:spacing w:before="0" w:after="0" w:line="408" w:lineRule="exact"/>
        <w:ind w:left="0" w:right="0" w:firstLine="576"/>
        <w:jc w:val="left"/>
      </w:pPr>
      <w:r>
        <w:rPr/>
        <w:t xml:space="preserve">(c) The third-party administrator selected pursuant to (a) of this subsection shall, within one year after the contract is awarded after the effective date of this section: </w:t>
      </w:r>
    </w:p>
    <w:p>
      <w:pPr>
        <w:spacing w:before="0" w:after="0" w:line="408" w:lineRule="exact"/>
        <w:ind w:left="0" w:right="0" w:firstLine="576"/>
        <w:jc w:val="left"/>
      </w:pPr>
      <w:r>
        <w:rPr/>
        <w:t xml:space="preserve">(i) Contract with community-based organizations to provide outreach to unemployed individuals who may be eligible for benefits under this chapter;</w:t>
      </w:r>
    </w:p>
    <w:p>
      <w:pPr>
        <w:spacing w:before="0" w:after="0" w:line="408" w:lineRule="exact"/>
        <w:ind w:left="0" w:right="0" w:firstLine="576"/>
        <w:jc w:val="left"/>
      </w:pPr>
      <w:r>
        <w:rPr/>
        <w:t xml:space="preserve">(ii) Screen each applicant for benefits to determine if the applicant is an eligible individual; </w:t>
      </w:r>
    </w:p>
    <w:p>
      <w:pPr>
        <w:spacing w:before="0" w:after="0" w:line="408" w:lineRule="exact"/>
        <w:ind w:left="0" w:right="0" w:firstLine="576"/>
        <w:jc w:val="left"/>
      </w:pPr>
      <w:r>
        <w:rPr/>
        <w:t xml:space="preserve">(iii) Pay benefits to eligible individuals; and </w:t>
      </w:r>
    </w:p>
    <w:p>
      <w:pPr>
        <w:spacing w:before="0" w:after="0" w:line="408" w:lineRule="exact"/>
        <w:ind w:left="0" w:right="0" w:firstLine="576"/>
        <w:jc w:val="left"/>
      </w:pPr>
      <w:r>
        <w:rPr/>
        <w:t xml:space="preserve">(iv) Establish an appeal process for benefit denials, suspensions, or terminations.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appoint an advisory committee to review issues and topics of interest related to this chapter.</w:t>
      </w:r>
    </w:p>
    <w:p>
      <w:pPr>
        <w:spacing w:before="0" w:after="0" w:line="408" w:lineRule="exact"/>
        <w:ind w:left="0" w:right="0" w:firstLine="576"/>
        <w:jc w:val="left"/>
      </w:pPr>
      <w:r>
        <w:rPr/>
        <w:t xml:space="preserve">(2) The committee is composed of 11 members:</w:t>
      </w:r>
    </w:p>
    <w:p>
      <w:pPr>
        <w:spacing w:before="0" w:after="0" w:line="408" w:lineRule="exact"/>
        <w:ind w:left="0" w:right="0" w:firstLine="576"/>
        <w:jc w:val="left"/>
      </w:pPr>
      <w:r>
        <w:rPr/>
        <w:t xml:space="preserve">(a) Three members representing immigrants' interests;</w:t>
      </w:r>
    </w:p>
    <w:p>
      <w:pPr>
        <w:spacing w:before="0" w:after="0" w:line="408" w:lineRule="exact"/>
        <w:ind w:left="0" w:right="0" w:firstLine="576"/>
        <w:jc w:val="left"/>
      </w:pPr>
      <w:r>
        <w:rPr/>
        <w:t xml:space="preserve">(b) Two members representing workers' interests in unemployment, each of whom must be appointed from a list of names submitted by a recognized statewide organization of employees;</w:t>
      </w:r>
    </w:p>
    <w:p>
      <w:pPr>
        <w:spacing w:before="0" w:after="0" w:line="408" w:lineRule="exact"/>
        <w:ind w:left="0" w:right="0" w:firstLine="576"/>
        <w:jc w:val="left"/>
      </w:pPr>
      <w:r>
        <w:rPr/>
        <w:t xml:space="preserve">(c) Two members representing employers' interests in unemployment, each of whom must be appointed from a list of names submitted by a recognized statewide organization of employers;</w:t>
      </w:r>
    </w:p>
    <w:p>
      <w:pPr>
        <w:spacing w:before="0" w:after="0" w:line="408" w:lineRule="exact"/>
        <w:ind w:left="0" w:right="0" w:firstLine="576"/>
        <w:jc w:val="left"/>
      </w:pPr>
      <w:r>
        <w:rPr/>
        <w:t xml:space="preserve">(d) Three ex officio members, without a vote, representing the state commission on African American affairs, the state commission on Hispanic affairs, and the state commission on Asian Pacific American affairs; and</w:t>
      </w:r>
    </w:p>
    <w:p>
      <w:pPr>
        <w:spacing w:before="0" w:after="0" w:line="408" w:lineRule="exact"/>
        <w:ind w:left="0" w:right="0" w:firstLine="576"/>
        <w:jc w:val="left"/>
      </w:pPr>
      <w:r>
        <w:rPr/>
        <w:t xml:space="preserve">(e) One ex officio member, without a vote, representing the department and who will serve as the chair.</w:t>
      </w:r>
    </w:p>
    <w:p>
      <w:pPr>
        <w:spacing w:before="0" w:after="0" w:line="408" w:lineRule="exact"/>
        <w:ind w:left="0" w:right="0" w:firstLine="576"/>
        <w:jc w:val="left"/>
      </w:pPr>
      <w:r>
        <w:rPr/>
        <w:t xml:space="preserve">(3) The advisory committee must provide comment on implementation of this chapter, utilization of benefits under this chapter, selection and performance of the third-party administrator, and study issues the advisory committee determines to require its consideration.</w:t>
      </w:r>
    </w:p>
    <w:p>
      <w:pPr>
        <w:spacing w:before="0" w:after="0" w:line="408" w:lineRule="exact"/>
        <w:ind w:left="0" w:right="0" w:firstLine="576"/>
        <w:jc w:val="left"/>
      </w:pPr>
      <w:r>
        <w:rPr/>
        <w:t xml:space="preserve">(4) The members must serve without compensation but are eligible for reimbursement of travel expenses as provided in RCW 43.03.050 and 43.03.060, and for stipends provided by the department under RCW 43.03.220. All expenses of the advisory committee must be paid by the Washington wage replacement account created in section 3 of this act.</w:t>
      </w:r>
    </w:p>
    <w:p>
      <w:pPr>
        <w:spacing w:before="0" w:after="0" w:line="408" w:lineRule="exact"/>
        <w:ind w:left="0" w:right="0" w:firstLine="576"/>
        <w:jc w:val="left"/>
      </w:pPr>
      <w:r>
        <w:rPr/>
        <w:t xml:space="preserve">(5) The department must comply with the requirements of RCW 43.18A.020 in making appointments provided in this section. The department must provide the report required in RCW 43.18A.020.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2027, a claimant may apply for benefits under this chapter with respect to any week of unemployment in the claimant's benefit year if the claimant provides the department with sufficient evidence that the claimant is ineligible for benefits under Title 50 RCW.</w:t>
      </w:r>
    </w:p>
    <w:p>
      <w:pPr>
        <w:spacing w:before="0" w:after="0" w:line="408" w:lineRule="exact"/>
        <w:ind w:left="0" w:right="0" w:firstLine="576"/>
        <w:jc w:val="left"/>
      </w:pPr>
      <w:r>
        <w:rPr/>
        <w:t xml:space="preserve">(2) The claimant must meet the eligibility and qualification requirements under sections 6 and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for benefits under this chapter, a claimant, who has provided sufficient evidence to the department as provided in section 5 of this act, must satisfy the steps in this section.</w:t>
      </w:r>
    </w:p>
    <w:p>
      <w:pPr>
        <w:spacing w:before="0" w:after="0" w:line="408" w:lineRule="exact"/>
        <w:ind w:left="0" w:right="0" w:firstLine="576"/>
        <w:jc w:val="left"/>
      </w:pPr>
      <w:r>
        <w:rPr/>
        <w:t xml:space="preserve">(2) The claimant must file an application for benefits under this chapter with the third-party administrator, which includes information or documentation verifying the claimant:</w:t>
      </w:r>
    </w:p>
    <w:p>
      <w:pPr>
        <w:spacing w:before="0" w:after="0" w:line="408" w:lineRule="exact"/>
        <w:ind w:left="0" w:right="0" w:firstLine="576"/>
        <w:jc w:val="left"/>
      </w:pPr>
      <w:r>
        <w:rPr/>
        <w:t xml:space="preserve">(a) Is a resident of the state of Washington and has sufficient photographic identification confirming their identity;</w:t>
      </w:r>
    </w:p>
    <w:p>
      <w:pPr>
        <w:spacing w:before="0" w:after="0" w:line="408" w:lineRule="exact"/>
        <w:ind w:left="0" w:right="0" w:firstLine="576"/>
        <w:jc w:val="left"/>
      </w:pPr>
      <w:r>
        <w:rPr/>
        <w:t xml:space="preserve">(b) Worked 680 hours in employment in the claimant's base year or earned wages during the claimant's base year equal to 680 times the minimum wage set by RCW 49.46.020 in effect during the first quarter of the claimant's base year;</w:t>
      </w:r>
    </w:p>
    <w:p>
      <w:pPr>
        <w:spacing w:before="0" w:after="0" w:line="408" w:lineRule="exact"/>
        <w:ind w:left="0" w:right="0" w:firstLine="576"/>
        <w:jc w:val="left"/>
      </w:pPr>
      <w:r>
        <w:rPr/>
        <w:t xml:space="preserve">(c) Is unemployed through no fault of their own; and</w:t>
      </w:r>
    </w:p>
    <w:p>
      <w:pPr>
        <w:spacing w:before="0" w:after="0" w:line="408" w:lineRule="exact"/>
        <w:ind w:left="0" w:right="0" w:firstLine="576"/>
        <w:jc w:val="left"/>
      </w:pPr>
      <w:r>
        <w:rPr/>
        <w:t xml:space="preserve">(d) Has been unemployed for a waiting period of one week.</w:t>
      </w:r>
    </w:p>
    <w:p>
      <w:pPr>
        <w:spacing w:before="0" w:after="0" w:line="408" w:lineRule="exact"/>
        <w:ind w:left="0" w:right="0" w:firstLine="576"/>
        <w:jc w:val="left"/>
      </w:pPr>
      <w:r>
        <w:rPr/>
        <w:t xml:space="preserve">(3) If the claimant's wages are not verified by employer reports provided by the claimant to the third-party administrator under subsection (2)(b) of this section, the third-party administrator must request additional information or documentation from the claimant verifying the claimant earned wages during the claimant's base year equal to 680 times the minimum wage set by RCW 49.46.020 in effect during the first quarter of the claimant's base year. If, after the third-party administrator's request, the claimant fails to provide sufficient information or documentation, the claimant may be denied benefits under this chapter.</w:t>
      </w:r>
    </w:p>
    <w:p>
      <w:pPr>
        <w:spacing w:before="0" w:after="0" w:line="408" w:lineRule="exact"/>
        <w:ind w:left="0" w:right="0" w:firstLine="576"/>
        <w:jc w:val="left"/>
      </w:pPr>
      <w:r>
        <w:rPr/>
        <w:t xml:space="preserve">(4) The third-party administrator may contract with a community-based organization to assist claimants in gathering information or documentation required under this section. Such assistance shall not include communication with employers regarding applicant eligibility.</w:t>
      </w:r>
    </w:p>
    <w:p>
      <w:pPr>
        <w:spacing w:before="0" w:after="0" w:line="408" w:lineRule="exact"/>
        <w:ind w:left="0" w:right="0" w:firstLine="576"/>
        <w:jc w:val="left"/>
      </w:pPr>
      <w:r>
        <w:rPr/>
        <w:t xml:space="preserve">(5) The third-party administrator must make the final decision on whether the claimant is eligible for benefits under this chapter. The third-party administrator may utilize information or documentation provided by the claimant or any third-party, community-based organization contracted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third-party administrator determines the claimant is eligible for benefits under this chapter, the claimant may qualify for weekly benefits by self-attesting that the claimant meets the following requirements for each week of unemployment in which the claimant is applying for benefits under this chapter:</w:t>
      </w:r>
    </w:p>
    <w:p>
      <w:pPr>
        <w:spacing w:before="0" w:after="0" w:line="408" w:lineRule="exact"/>
        <w:ind w:left="0" w:right="0" w:firstLine="576"/>
        <w:jc w:val="left"/>
      </w:pPr>
      <w:r>
        <w:rPr/>
        <w:t xml:space="preserve">(a) The claimant must be actively seeking work in any trade, occupation, profession, or business for which the claimant is reasonably fitted; and</w:t>
      </w:r>
    </w:p>
    <w:p>
      <w:pPr>
        <w:spacing w:before="0" w:after="0" w:line="408" w:lineRule="exact"/>
        <w:ind w:left="0" w:right="0" w:firstLine="576"/>
        <w:jc w:val="left"/>
      </w:pPr>
      <w:r>
        <w:rPr/>
        <w:t xml:space="preserve">(b) The claimant must report to the third-party administrator any wages or remuneration the claimant received.</w:t>
      </w:r>
    </w:p>
    <w:p>
      <w:pPr>
        <w:spacing w:before="0" w:after="0" w:line="408" w:lineRule="exact"/>
        <w:ind w:left="0" w:right="0" w:firstLine="576"/>
        <w:jc w:val="left"/>
      </w:pPr>
      <w:r>
        <w:rPr/>
        <w:t xml:space="preserve">(2) For the purposes of this section, "actively seeking work" means participating in job search, educational, or professional development activities.</w:t>
      </w:r>
    </w:p>
    <w:p>
      <w:pPr>
        <w:spacing w:before="0" w:after="0" w:line="408" w:lineRule="exact"/>
        <w:ind w:left="0" w:right="0" w:firstLine="576"/>
        <w:jc w:val="left"/>
      </w:pPr>
      <w:r>
        <w:rPr/>
        <w:t xml:space="preserve">(3) The third-party administrator may take reasonable steps to confirm the claimant's job search, educational, or professional development activities, and current unemployment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claimant who is eligible and qualified for benefits under this chapter must receive a weekly benefit amount equal to the weekly benefit amount calculated in RCW 50.20.120 by the third-party administrator.</w:t>
      </w:r>
    </w:p>
    <w:p>
      <w:pPr>
        <w:spacing w:before="0" w:after="0" w:line="408" w:lineRule="exact"/>
        <w:ind w:left="0" w:right="0" w:firstLine="576"/>
        <w:jc w:val="left"/>
      </w:pPr>
      <w:r>
        <w:rPr/>
        <w:t xml:space="preserve">(2) Benefits must be payable to any eligible and qualified claimant during the claimant's benefit year in a maximum amount equal to the lesser of 26 times the weekly benefit amount, as determined under subsection (1) of this section, or one-third of the claimant's base year wages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waiting period credit or the payment of benefits under this chapter are denied to any claimant for any week or weeks, the claimant must be promptly issued written notice of the denial and reasons for such denial by the third-party administrator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claimant is disqualified for benefits under this chapter:</w:t>
      </w:r>
    </w:p>
    <w:p>
      <w:pPr>
        <w:spacing w:before="0" w:after="0" w:line="408" w:lineRule="exact"/>
        <w:ind w:left="0" w:right="0" w:firstLine="576"/>
        <w:jc w:val="left"/>
      </w:pPr>
      <w:r>
        <w:rPr/>
        <w:t xml:space="preserve">(a) If the third-party administrator finds that a claimant:</w:t>
      </w:r>
    </w:p>
    <w:p>
      <w:pPr>
        <w:spacing w:before="0" w:after="0" w:line="408" w:lineRule="exact"/>
        <w:ind w:left="0" w:right="0" w:firstLine="576"/>
        <w:jc w:val="left"/>
      </w:pPr>
      <w:r>
        <w:rPr/>
        <w:t xml:space="preserve">(i) Left the claimant's most recent work voluntarily without good cause;</w:t>
      </w:r>
    </w:p>
    <w:p>
      <w:pPr>
        <w:spacing w:before="0" w:after="0" w:line="408" w:lineRule="exact"/>
        <w:ind w:left="0" w:right="0" w:firstLine="576"/>
        <w:jc w:val="left"/>
      </w:pPr>
      <w:r>
        <w:rPr/>
        <w:t xml:space="preserve">(ii) Was discharged for misconduct or gross misconduct connected with the claimant's most recent work; or</w:t>
      </w:r>
    </w:p>
    <w:p>
      <w:pPr>
        <w:spacing w:before="0" w:after="0" w:line="408" w:lineRule="exact"/>
        <w:ind w:left="0" w:right="0" w:firstLine="576"/>
        <w:jc w:val="left"/>
      </w:pPr>
      <w:r>
        <w:rPr/>
        <w:t xml:space="preserve">(iii) Knowingly made a false statement or representation involving a material fact or knowingly failed to report a material fact and, as a result, has obtained or attempted to obtain any benefits under this chapter; or</w:t>
      </w:r>
    </w:p>
    <w:p>
      <w:pPr>
        <w:spacing w:before="0" w:after="0" w:line="408" w:lineRule="exact"/>
        <w:ind w:left="0" w:right="0" w:firstLine="576"/>
        <w:jc w:val="left"/>
      </w:pPr>
      <w:r>
        <w:rPr/>
        <w:t xml:space="preserve">(b) For any week a claimant has received, is receiving, or will receive compensation, under:</w:t>
      </w:r>
    </w:p>
    <w:p>
      <w:pPr>
        <w:spacing w:before="0" w:after="0" w:line="408" w:lineRule="exact"/>
        <w:ind w:left="0" w:right="0" w:firstLine="576"/>
        <w:jc w:val="left"/>
      </w:pPr>
      <w:r>
        <w:rPr/>
        <w:t xml:space="preserve">(i) Chapters 50.01 through 50.36 RCW;</w:t>
      </w:r>
    </w:p>
    <w:p>
      <w:pPr>
        <w:spacing w:before="0" w:after="0" w:line="408" w:lineRule="exact"/>
        <w:ind w:left="0" w:right="0" w:firstLine="576"/>
        <w:jc w:val="left"/>
      </w:pPr>
      <w:r>
        <w:rPr/>
        <w:t xml:space="preserve">(ii) Title 50A RCW;</w:t>
      </w:r>
    </w:p>
    <w:p>
      <w:pPr>
        <w:spacing w:before="0" w:after="0" w:line="408" w:lineRule="exact"/>
        <w:ind w:left="0" w:right="0" w:firstLine="576"/>
        <w:jc w:val="left"/>
      </w:pPr>
      <w:r>
        <w:rPr/>
        <w:t xml:space="preserve">(iii) RCW 51.32.060;</w:t>
      </w:r>
    </w:p>
    <w:p>
      <w:pPr>
        <w:spacing w:before="0" w:after="0" w:line="408" w:lineRule="exact"/>
        <w:ind w:left="0" w:right="0" w:firstLine="576"/>
        <w:jc w:val="left"/>
      </w:pPr>
      <w:r>
        <w:rPr/>
        <w:t xml:space="preserve">(iv) RCW 51.32.090; or</w:t>
      </w:r>
    </w:p>
    <w:p>
      <w:pPr>
        <w:spacing w:before="0" w:after="0" w:line="408" w:lineRule="exact"/>
        <w:ind w:left="0" w:right="0" w:firstLine="576"/>
        <w:jc w:val="left"/>
      </w:pPr>
      <w:r>
        <w:rPr/>
        <w:t xml:space="preserve">(v) Any other applicable federal unemployment compensation, industrial insurance, or state disability insurance laws.</w:t>
      </w:r>
    </w:p>
    <w:p>
      <w:pPr>
        <w:spacing w:before="0" w:after="0" w:line="408" w:lineRule="exact"/>
        <w:ind w:left="0" w:right="0" w:firstLine="576"/>
        <w:jc w:val="left"/>
      </w:pPr>
      <w:r>
        <w:rPr/>
        <w:t xml:space="preserve">(2) Cessation of operations by an employer for the purpose of granting vacations, whether by union contract or other reasons, must not be construed to be a voluntary quit or a voluntary unemployment on the part of the claimant.</w:t>
      </w:r>
    </w:p>
    <w:p>
      <w:pPr>
        <w:spacing w:before="0" w:after="0" w:line="408" w:lineRule="exact"/>
        <w:ind w:left="0" w:right="0" w:firstLine="576"/>
        <w:jc w:val="left"/>
      </w:pPr>
      <w:r>
        <w:rPr/>
        <w:t xml:space="preserve">(3) For purposes of determining good cause, the third-party administrator may consider the reason provided in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Benefits are due and payable under this chapter only to the extent provided in this chapter and to the extent that moneys are available in the funds distributed to the third-party administrator from the Washington wage replacement account created in section 3 of this act.</w:t>
      </w:r>
    </w:p>
    <w:p>
      <w:pPr>
        <w:spacing w:before="0" w:after="0" w:line="408" w:lineRule="exact"/>
        <w:ind w:left="0" w:right="0" w:firstLine="576"/>
        <w:jc w:val="left"/>
      </w:pPr>
      <w:r>
        <w:rPr/>
        <w:t xml:space="preserve">(2) The third-party administrator nor the department nor the state are liable for any amount exceeding such sums.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information provided to the department or the third-party administrator by another governmental agency is held private and confidential by state or federal laws, neither the department nor the third-party administrator may release such information.</w:t>
      </w:r>
    </w:p>
    <w:p>
      <w:pPr>
        <w:spacing w:before="0" w:after="0" w:line="408" w:lineRule="exact"/>
        <w:ind w:left="0" w:right="0" w:firstLine="576"/>
        <w:jc w:val="left"/>
      </w:pPr>
      <w:r>
        <w:rPr/>
        <w:t xml:space="preserve">(2) Information provided to the department or the third-party administrator by another governmental entity conditioned upon the privacy and confidentiality is to be held private and confidential according to the agreement between the department or the third-party administrator and other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information or records concerning a claimant or employing unit obtained by the department or the third-party administrator pursuant to the administration of this chapter must be private and confidential, except as otherwise provided in this chapter. This chapter does not create a rule of evidence. Information or records may only be released by the department or the third-party administrator when the release is:</w:t>
      </w:r>
    </w:p>
    <w:p>
      <w:pPr>
        <w:spacing w:before="0" w:after="0" w:line="408" w:lineRule="exact"/>
        <w:ind w:left="0" w:right="0" w:firstLine="576"/>
        <w:jc w:val="left"/>
      </w:pPr>
      <w:r>
        <w:rPr/>
        <w:t xml:space="preserve">(1) To the person who is the subject of such records or an authorized representative;</w:t>
      </w:r>
    </w:p>
    <w:p>
      <w:pPr>
        <w:spacing w:before="0" w:after="0" w:line="408" w:lineRule="exact"/>
        <w:ind w:left="0" w:right="0" w:firstLine="576"/>
        <w:jc w:val="left"/>
      </w:pPr>
      <w:r>
        <w:rPr/>
        <w:t xml:space="preserve">(2) Necessary to comply with a lawful court order, judicial warrant signed by a judge appointed pursuant to Article III of the United States Constitution, or judicial subpoena for specific records issued pursuant to the criminal procedure law or the civil practice law and rules; or</w:t>
      </w:r>
    </w:p>
    <w:p>
      <w:pPr>
        <w:spacing w:before="0" w:after="0" w:line="408" w:lineRule="exact"/>
        <w:ind w:left="0" w:right="0" w:firstLine="576"/>
        <w:jc w:val="left"/>
      </w:pPr>
      <w:r>
        <w:rPr/>
        <w:t xml:space="preserve">(3) Disclosed in a manner that could not be used to determine the identities of the claimants or employers to whom the data pertains, alone or in combination with other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administering the program under this chapter, the department and the third-party administrator are prohibited from taking any of the following actions:</w:t>
      </w:r>
    </w:p>
    <w:p>
      <w:pPr>
        <w:spacing w:before="0" w:after="0" w:line="408" w:lineRule="exact"/>
        <w:ind w:left="0" w:right="0" w:firstLine="576"/>
        <w:jc w:val="left"/>
      </w:pPr>
      <w:r>
        <w:rPr/>
        <w:t xml:space="preserve">(a) Soliciting from the claimant, orally or in written form, a claimant's nationality, race, ethnicity, place of birth, citizenship, or immigration status;</w:t>
      </w:r>
    </w:p>
    <w:p>
      <w:pPr>
        <w:spacing w:before="0" w:after="0" w:line="408" w:lineRule="exact"/>
        <w:ind w:left="0" w:right="0" w:firstLine="576"/>
        <w:jc w:val="left"/>
      </w:pPr>
      <w:r>
        <w:rPr/>
        <w:t xml:space="preserve">(b) Indicating in its records which documents the claimant used to prove the claimant's age or identity;</w:t>
      </w:r>
    </w:p>
    <w:p>
      <w:pPr>
        <w:spacing w:before="0" w:after="0" w:line="408" w:lineRule="exact"/>
        <w:ind w:left="0" w:right="0" w:firstLine="576"/>
        <w:jc w:val="left"/>
      </w:pPr>
      <w:r>
        <w:rPr/>
        <w:t xml:space="preserve">(c) Compelling a claimant to admit in writing whether the claimant has proof of lawful presence in the United States or to explain why the claimant is ineligible for a social security number;</w:t>
      </w:r>
    </w:p>
    <w:p>
      <w:pPr>
        <w:spacing w:before="0" w:after="0" w:line="408" w:lineRule="exact"/>
        <w:ind w:left="0" w:right="0" w:firstLine="576"/>
        <w:jc w:val="left"/>
      </w:pPr>
      <w:r>
        <w:rPr/>
        <w:t xml:space="preserve">(d) Contacting a claimant's current, former, or prospective employers including, but not limited to, for the purposes of verifying employment status; and</w:t>
      </w:r>
    </w:p>
    <w:p>
      <w:pPr>
        <w:spacing w:before="0" w:after="0" w:line="408" w:lineRule="exact"/>
        <w:ind w:left="0" w:right="0" w:firstLine="576"/>
        <w:jc w:val="left"/>
      </w:pPr>
      <w:r>
        <w:rPr/>
        <w:t xml:space="preserve">(e) Attempting to ascertain a claimant's immigration or citizenship status, except to determine whether a claimant is excluded from benefits under chapters 50.01 through 50.36 RCW and potentially eligible for benefits under this chapter.</w:t>
      </w:r>
    </w:p>
    <w:p>
      <w:pPr>
        <w:spacing w:before="0" w:after="0" w:line="408" w:lineRule="exact"/>
        <w:ind w:left="0" w:right="0" w:firstLine="576"/>
        <w:jc w:val="left"/>
      </w:pPr>
      <w:r>
        <w:rPr/>
        <w:t xml:space="preserve">(2) The third-party administrator must destroy all records containing information that were provided by a claimant or collected by the department to verify eligibility for the program within 15 days of a claimant no longer using the program.</w:t>
      </w:r>
    </w:p>
    <w:p>
      <w:pPr>
        <w:spacing w:before="0" w:after="0" w:line="408" w:lineRule="exact"/>
        <w:ind w:left="0" w:right="0" w:firstLine="576"/>
        <w:jc w:val="left"/>
      </w:pPr>
      <w:r>
        <w:rPr/>
        <w:t xml:space="preserve">(3) As provided in RCW 42.56.410, any information under this chapter is not a public record and must not be disclosed or otherwise made accessible in response to any request for records except:</w:t>
      </w:r>
    </w:p>
    <w:p>
      <w:pPr>
        <w:spacing w:before="0" w:after="0" w:line="408" w:lineRule="exact"/>
        <w:ind w:left="0" w:right="0" w:firstLine="576"/>
        <w:jc w:val="left"/>
      </w:pPr>
      <w:r>
        <w:rPr/>
        <w:t xml:space="preserve">(a) To the person who is the subject of such records or an authorized representative;</w:t>
      </w:r>
    </w:p>
    <w:p>
      <w:pPr>
        <w:spacing w:before="0" w:after="0" w:line="408" w:lineRule="exact"/>
        <w:ind w:left="0" w:right="0" w:firstLine="576"/>
        <w:jc w:val="left"/>
      </w:pPr>
      <w:r>
        <w:rPr/>
        <w:t xml:space="preserve">(b) Where necessary to comply with a lawful court order, judicial warrant signed by a judge appointed pursuant to Article III of the United States Constitution, or judicial subpoena for individual records issued pursuant to the criminal procedure law or the civil practice law and rules; or</w:t>
      </w:r>
    </w:p>
    <w:p>
      <w:pPr>
        <w:spacing w:before="0" w:after="0" w:line="408" w:lineRule="exact"/>
        <w:ind w:left="0" w:right="0" w:firstLine="576"/>
        <w:jc w:val="left"/>
      </w:pPr>
      <w:r>
        <w:rPr/>
        <w:t xml:space="preserve">(c) If disclosed in a manner that could not be used to determine the identities of the claimants or employers to whom the data pertains, alone or in combination with other data.</w:t>
      </w:r>
    </w:p>
    <w:p>
      <w:pPr>
        <w:spacing w:before="0" w:after="0" w:line="408" w:lineRule="exact"/>
        <w:ind w:left="0" w:right="0" w:firstLine="576"/>
        <w:jc w:val="left"/>
      </w:pPr>
      <w:r>
        <w:rPr/>
        <w:t xml:space="preserve">(4) For the purposes of this section, whenever a lawful court order, judicial warrant, or judicial subpoena for individual records properly issued pursuant to the criminal procedure law or the civil practice law and rules is presented to a court, only those records, documents, and information specifically sought by such court order, warrant, or subpoena may be disclosed.</w:t>
      </w:r>
    </w:p>
    <w:p>
      <w:pPr>
        <w:spacing w:before="0" w:after="0" w:line="408" w:lineRule="exact"/>
        <w:ind w:left="0" w:right="0" w:firstLine="576"/>
        <w:jc w:val="left"/>
      </w:pPr>
      <w:r>
        <w:rPr/>
        <w:t xml:space="preserve">(5) Notwithstanding any other law, information and records containing information that are collected or obtained by the state, any state agency, or any subdivision of the state, including agents of the state universities and community colleges, in addition to any private persons contracted to administer public services or programs, must only be collected, used, and retained for the purpose of assessing eligibility for and providing those public services and programs created by this chapter.</w:t>
      </w:r>
    </w:p>
    <w:p>
      <w:pPr>
        <w:spacing w:before="0" w:after="0" w:line="408" w:lineRule="exact"/>
        <w:ind w:left="0" w:right="0" w:firstLine="576"/>
        <w:jc w:val="left"/>
      </w:pPr>
      <w:r>
        <w:rPr/>
        <w:t xml:space="preserve">(6) No information collected under this chapter may be used for purposes of investigating, locating, or apprehending claimants for immigration-related violations including, but not exclusive to, queries or inquiries under 8 U.S.C. Secs. 1324, 1325, and 1326.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third-party administrator must create a process by which claimants can notify the administrator of payment errors and for collection and forgiveness of such overpayments.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assignment, pledge, or encumbrance of any right to benefits under this chapter which are or may become due or payable under this chapter must be void. Such rights to benefits under this chapter must be exempt from levy, execution, attachment, or any other remedy whatsoever provided for the collection of debts. Benefits under this chapter received by any individual, so long as they are not commingled with other funds of the recipient, must be exempt from any remedy whatsoever for collection of all debts except debts incurred for necessaries furnished to such individual or their spouse or dependents during the time when such individual was unemployed. Any waiver of any exemption provided for in this section must be void. Any agreement by an individual to waive, release, or commute their rights to benefits or any other rights under this chapter must be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reserves the right to amend or repeal all or any part of this chapter at any time; and there must be no vested private right of any kind against such amendment or repeal. All the rights, privileges, or immunities conferred by this chapter or by acts done pursuant thereto must exist subject to the power of the legislature to amend or repeal this chapter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410</w:t>
      </w:r>
      <w:r>
        <w:rPr/>
        <w:t xml:space="preserve"> and 2019 c 81 s 10 and 2019 c 13 s 68 are each reenacted and amended to read as follows:</w:t>
      </w:r>
    </w:p>
    <w:p>
      <w:pPr>
        <w:spacing w:before="0" w:after="0" w:line="408" w:lineRule="exact"/>
        <w:ind w:left="0" w:right="0" w:firstLine="576"/>
        <w:jc w:val="left"/>
      </w:pPr>
      <w:r>
        <w:rPr/>
        <w:t xml:space="preserve">The following information related to employment security is exempt from disclosure under this chapter:</w:t>
      </w:r>
    </w:p>
    <w:p>
      <w:pPr>
        <w:spacing w:before="0" w:after="0" w:line="408" w:lineRule="exact"/>
        <w:ind w:left="0" w:right="0" w:firstLine="576"/>
        <w:jc w:val="left"/>
      </w:pPr>
      <w:r>
        <w:rPr/>
        <w:t xml:space="preserve">(1) Records maintained by the employment security department and subject to chapter 50.13 or 50A.25 RCW if provided to another individual or organization for operational, research, or evaluation purposes </w:t>
      </w:r>
      <w:r>
        <w:t>((</w:t>
      </w:r>
      <w:r>
        <w:rPr>
          <w:strike/>
        </w:rPr>
        <w:t xml:space="preserve">are exempt from disclosure under this chapter</w:t>
      </w:r>
      <w:r>
        <w:t>))</w:t>
      </w:r>
      <w:r>
        <w:rPr/>
        <w:t xml:space="preserve">; </w:t>
      </w:r>
      <w:r>
        <w:t>((</w:t>
      </w:r>
      <w:r>
        <w:rPr>
          <w:strike/>
        </w:rPr>
        <w:t xml:space="preserve">and</w:t>
      </w:r>
      <w:r>
        <w:t>))</w:t>
      </w:r>
    </w:p>
    <w:p>
      <w:pPr>
        <w:spacing w:before="0" w:after="0" w:line="408" w:lineRule="exact"/>
        <w:ind w:left="0" w:right="0" w:firstLine="576"/>
        <w:jc w:val="left"/>
      </w:pPr>
      <w:r>
        <w:rPr/>
        <w:t xml:space="preserve">(2) Any inventory or data map records created under RCW 50.13.120(1)(b) that reveal the location of personal information or the extent to which it is protected</w:t>
      </w:r>
      <w:r>
        <w:rPr>
          <w:u w:val="single"/>
        </w:rPr>
        <w:t xml:space="preserve">; and</w:t>
      </w:r>
    </w:p>
    <w:p>
      <w:pPr>
        <w:spacing w:before="0" w:after="0" w:line="408" w:lineRule="exact"/>
        <w:ind w:left="0" w:right="0" w:firstLine="576"/>
        <w:jc w:val="left"/>
      </w:pPr>
      <w:r>
        <w:rPr>
          <w:u w:val="single"/>
        </w:rPr>
        <w:t xml:space="preserve">(3) Any information or records maintained by the employment security department or third-party administrator pursuant to chapter 50.--- RCW (the new chapter created in section 23 of this act) except:</w:t>
      </w:r>
    </w:p>
    <w:p>
      <w:pPr>
        <w:spacing w:before="0" w:after="0" w:line="408" w:lineRule="exact"/>
        <w:ind w:left="0" w:right="0" w:firstLine="576"/>
        <w:jc w:val="left"/>
      </w:pPr>
      <w:r>
        <w:rPr>
          <w:u w:val="single"/>
        </w:rPr>
        <w:t xml:space="preserve">(a) To the person who is the subject of such records or an authorized representative;</w:t>
      </w:r>
    </w:p>
    <w:p>
      <w:pPr>
        <w:spacing w:before="0" w:after="0" w:line="408" w:lineRule="exact"/>
        <w:ind w:left="0" w:right="0" w:firstLine="576"/>
        <w:jc w:val="left"/>
      </w:pPr>
      <w:r>
        <w:rPr>
          <w:u w:val="single"/>
        </w:rPr>
        <w:t xml:space="preserve">(b) Where necessary to comply with a lawful court order, judicial warrant signed by a judge appointed pursuant to Article III of the United States Constitution, or judicial subpoena for individual records issued pursuant to the criminal procedure law or the civil practice law and rules; or</w:t>
      </w:r>
    </w:p>
    <w:p>
      <w:pPr>
        <w:spacing w:before="0" w:after="0" w:line="408" w:lineRule="exact"/>
        <w:ind w:left="0" w:right="0" w:firstLine="576"/>
        <w:jc w:val="left"/>
      </w:pPr>
      <w:r>
        <w:rPr>
          <w:u w:val="single"/>
        </w:rPr>
        <w:t xml:space="preserve">(c) If disclosed in a manner that could not be used to determine the identities of the claimants or employers to whom the data pertains, alone or in combination with other data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025</w:t>
      </w:r>
      <w:r>
        <w:rPr/>
        <w:t xml:space="preserve"> and 2022 c 61 s 1 and 2022 c 17 s 1 are each reenacted and amended to read as follows:</w:t>
      </w:r>
    </w:p>
    <w:p>
      <w:pPr>
        <w:spacing w:before="0" w:after="0" w:line="408" w:lineRule="exact"/>
        <w:ind w:left="0" w:right="0" w:firstLine="576"/>
        <w:jc w:val="left"/>
      </w:pPr>
      <w:r>
        <w:rPr/>
        <w:t xml:space="preserve">(1) The contribution rate for each employer subject to contributions under RCW 50.24.010 shall be the sum of the array calculation factor rate and the graduated social cost factor rate determined under this subsection</w:t>
      </w:r>
      <w:r>
        <w:t>((</w:t>
      </w:r>
      <w:r>
        <w:rPr>
          <w:strike/>
        </w:rPr>
        <w:t xml:space="preserve">, and the solvency surcharge determined under RCW 50.29.041, if any</w:t>
      </w:r>
      <w:r>
        <w:t>))</w:t>
      </w:r>
      <w:r>
        <w:rPr/>
        <w:t xml:space="preserve">.</w:t>
      </w:r>
    </w:p>
    <w:p>
      <w:pPr>
        <w:spacing w:before="0" w:after="0" w:line="408" w:lineRule="exact"/>
        <w:ind w:left="0" w:right="0" w:firstLine="576"/>
        <w:jc w:val="left"/>
      </w:pPr>
      <w:r>
        <w:rPr/>
        <w:t xml:space="preserve">(a) The array calculation factor rate shall be determined as follows:</w:t>
      </w:r>
    </w:p>
    <w:p>
      <w:pPr>
        <w:spacing w:before="0" w:after="0" w:line="408" w:lineRule="exact"/>
        <w:ind w:left="0" w:right="0" w:firstLine="576"/>
        <w:jc w:val="left"/>
      </w:pPr>
      <w:r>
        <w:rPr/>
        <w:t xml:space="preserve">(i)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tbl>
      <w:tblPr>
        <w:tblW w:w="0" w:type="auto"/>
        <w:jc w:val="center"/>
        <w:tcMar>
          <w:tblCellMar>
            <w:top w:w="0" w:type="dxa"/>
          </w:tblCellMar>
        </w:tcMar>
        <w:tcMar>
          <w:tblCellMar>
            <w:left w:w="70" w:type="dxa"/>
            <w:right w:w="70" w:type="dxa"/>
          </w:tblCellMar>
        </w:tcMar>
      </w:tblPr>
      <w:tblGrid>
        <w:gridCol w:w="1220"/>
        <w:gridCol w:w="1380"/>
        <w:gridCol w:w="1040"/>
        <w:gridCol w:w="1220"/>
      </w:tblGrid>
      <w:tr>
        <w:tc>
          <w:tcPr>
            <w:gridSpan w:val="2"/>
            <w:tcW w:w="2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Benefit Ratio</w:t>
            </w:r>
          </w:p>
        </w:tc>
        <w:tc>
          <w:tcPr>
            <w:tcW w:w="10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Class</w:t>
            </w:r>
          </w:p>
        </w:tc>
        <w:tc>
          <w:tcPr>
            <w:tcW w:w="12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(percent)</w:t>
            </w:r>
          </w:p>
        </w:tc>
      </w:tr>
      <w:tr>
        <w:tc>
          <w:tcPr>
            <w:tcW w:w="12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w:t>
            </w:r>
          </w:p>
        </w:tc>
        <w:tc>
          <w:tcPr>
            <w:tcW w:w="13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w:t>
            </w:r>
          </w:p>
        </w:tc>
        <w:tc>
          <w:tcPr>
            <w:vMerge/>
          </w:tcPr>
          <w:p/>
        </w:tc>
        <w:tc>
          <w:tcPr>
            <w:vMerge/>
          </w:tcP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0.22</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0.76</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w:t>
            </w:r>
          </w:p>
        </w:tc>
      </w:tr>
    </w:tbl>
    <w:p>
      <w:pPr>
        <w:spacing w:before="120" w:after="0" w:line="408" w:lineRule="exact"/>
        <w:ind w:left="0" w:right="0" w:firstLine="576"/>
        <w:jc w:val="left"/>
      </w:pPr>
      <w:r>
        <w:rPr/>
        <w:t xml:space="preserve">(b) The graduated social cost factor rate shall be determined as follows:</w:t>
      </w:r>
    </w:p>
    <w:p>
      <w:pPr>
        <w:spacing w:before="0" w:after="0" w:line="408" w:lineRule="exact"/>
        <w:ind w:left="0" w:right="0" w:firstLine="576"/>
        <w:jc w:val="left"/>
      </w:pPr>
      <w:r>
        <w:rPr/>
        <w:t xml:space="preserve">(i)(A)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pPr>
        <w:spacing w:before="0" w:after="0" w:line="408" w:lineRule="exact"/>
        <w:ind w:left="0" w:right="0" w:firstLine="576"/>
        <w:jc w:val="left"/>
      </w:pPr>
      <w:r>
        <w:rPr/>
        <w:t xml:space="preserve">(B)(I)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cut-off date will provide benefits above ten months and dividing the result by the total taxable payroll. However, the calculation under this subsection (1)(b)(i)(B) for a rate year may not result in a flat social cost factor that is more than four-tenths lower than the calculation under (b)(i)(A) of this subsection for that rate year. For rate year 2011 and thereafter, the calculation may not result in a flat social cost factor that is more than one and twenty-two one-hundredths percent except for rate year 2021 the calculation may not result in a flat social cost factor that is more than five-tenths percent, for rate year 2022 the calculation may not result in a flat social cost factor that is more than five-tenths percent, for rate year 2023 the calculation may not result in a flat social cost factor that is more than seven-tenths percent, for rate year 2024 the calculation may not result in a flat social cost factor that is more than eighty-five one-hundredths percent, and for rate year 2025 the calculation may not result in a flat social cost factor that is more than nine-tenths percent.</w:t>
      </w:r>
    </w:p>
    <w:p>
      <w:pPr>
        <w:spacing w:before="0" w:after="0" w:line="408" w:lineRule="exact"/>
        <w:ind w:left="0" w:right="0" w:firstLine="576"/>
        <w:jc w:val="left"/>
      </w:pPr>
      <w:r>
        <w:rPr/>
        <w:t xml:space="preserve">(II) If, on the cut-off date, the balance in the unemployment compensation fund is determined by the commissioner to be an amount that will provide ten months of unemployment benefits or less, the flat social cost factor for the rate year immediately following the cut-off date may not increase by more than fifty percent over the previous rate year or may not exceed one and twenty-two one-hundredths percent, whichever is greater.</w:t>
      </w:r>
    </w:p>
    <w:p>
      <w:pPr>
        <w:spacing w:before="0" w:after="0" w:line="408" w:lineRule="exact"/>
        <w:ind w:left="0" w:right="0" w:firstLine="576"/>
        <w:jc w:val="left"/>
      </w:pPr>
      <w:r>
        <w:rPr/>
        <w:t xml:space="preserve">(III) For the purposes of this subsection (1)(b),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w:t>
      </w:r>
    </w:p>
    <w:p>
      <w:pPr>
        <w:spacing w:before="0" w:after="0" w:line="408" w:lineRule="exact"/>
        <w:ind w:left="0" w:right="0" w:firstLine="576"/>
        <w:jc w:val="left"/>
      </w:pPr>
      <w:r>
        <w:rPr/>
        <w:t xml:space="preserve">(C) The minimum flat social cost factor calculated under this subsection (1)(b) shall be six-tenths of one percent, except that if the balance in the unemployment compensation fund is determined by the commissioner to be an amount that will provide:</w:t>
      </w:r>
    </w:p>
    <w:p>
      <w:pPr>
        <w:spacing w:before="0" w:after="0" w:line="408" w:lineRule="exact"/>
        <w:ind w:left="0" w:right="0" w:firstLine="576"/>
        <w:jc w:val="left"/>
      </w:pPr>
      <w:r>
        <w:rPr/>
        <w:t xml:space="preserve">(I) At least ten months but less than eleven months of unemployment benefits, the minimum shall be five-tenths of one percent; or</w:t>
      </w:r>
    </w:p>
    <w:p>
      <w:pPr>
        <w:spacing w:before="0" w:after="0" w:line="408" w:lineRule="exact"/>
        <w:ind w:left="0" w:right="0" w:firstLine="576"/>
        <w:jc w:val="left"/>
      </w:pPr>
      <w:r>
        <w:rPr/>
        <w:t xml:space="preserve">(II) At least eleven months but less than twelve months of unemployment benefits, the minimum shall be forty-five hundredths of one percent; or</w:t>
      </w:r>
    </w:p>
    <w:p>
      <w:pPr>
        <w:spacing w:before="0" w:after="0" w:line="408" w:lineRule="exact"/>
        <w:ind w:left="0" w:right="0" w:firstLine="576"/>
        <w:jc w:val="left"/>
      </w:pPr>
      <w:r>
        <w:rPr/>
        <w:t xml:space="preserve">(III) At least twelve months but less than thirteen months of unemployment benefits, the minimum shall be four-tenths of one percent; or</w:t>
      </w:r>
    </w:p>
    <w:p>
      <w:pPr>
        <w:spacing w:before="0" w:after="0" w:line="408" w:lineRule="exact"/>
        <w:ind w:left="0" w:right="0" w:firstLine="576"/>
        <w:jc w:val="left"/>
      </w:pPr>
      <w:r>
        <w:rPr/>
        <w:t xml:space="preserve">(IV) At least thirteen months but less than fifteen months of unemployment benefits, the minimum shall be thirty-five hundredths of one percent; or</w:t>
      </w:r>
    </w:p>
    <w:p>
      <w:pPr>
        <w:spacing w:before="0" w:after="0" w:line="408" w:lineRule="exact"/>
        <w:ind w:left="0" w:right="0" w:firstLine="576"/>
        <w:jc w:val="left"/>
      </w:pPr>
      <w:r>
        <w:rPr/>
        <w:t xml:space="preserve">(V) At least fifteen months but less than seventeen months of unemployment benefits, the minimum shall be twenty-five hundredths of one percent; or</w:t>
      </w:r>
    </w:p>
    <w:p>
      <w:pPr>
        <w:spacing w:before="0" w:after="0" w:line="408" w:lineRule="exact"/>
        <w:ind w:left="0" w:right="0" w:firstLine="576"/>
        <w:jc w:val="left"/>
      </w:pPr>
      <w:r>
        <w:rPr/>
        <w:t xml:space="preserve">(VI) At least seventeen months but less than eighteen months of unemployment benefits, the minimum shall be fifteen hundredths of one percent; or</w:t>
      </w:r>
    </w:p>
    <w:p>
      <w:pPr>
        <w:spacing w:before="0" w:after="0" w:line="408" w:lineRule="exact"/>
        <w:ind w:left="0" w:right="0" w:firstLine="576"/>
        <w:jc w:val="left"/>
      </w:pPr>
      <w:r>
        <w:rPr/>
        <w:t xml:space="preserve">(VII) At least eighteen months of unemployment benefits, the minimum shall be fifteen hundredths of one percent through rate year 2011 and shall be zero thereafter.</w:t>
      </w:r>
    </w:p>
    <w:p>
      <w:pPr>
        <w:spacing w:before="0" w:after="0" w:line="408" w:lineRule="exact"/>
        <w:ind w:left="0" w:right="0" w:firstLine="576"/>
        <w:jc w:val="left"/>
      </w:pPr>
      <w:r>
        <w:rPr/>
        <w:t xml:space="preserve">(ii)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percent or, for employers whose North American industry classification system code is within "111," "112," "1141," "115," "3114," "3117," "42448," or "49312," may not exceed five and four-tenths percent:</w:t>
      </w:r>
    </w:p>
    <w:p>
      <w:pPr>
        <w:spacing w:before="0" w:after="0" w:line="408" w:lineRule="exact"/>
        <w:ind w:left="0" w:right="0" w:firstLine="576"/>
        <w:jc w:val="left"/>
      </w:pPr>
      <w:r>
        <w:rPr/>
        <w:t xml:space="preserve">(A) Rate class 1 - 40 percent;</w:t>
      </w:r>
    </w:p>
    <w:p>
      <w:pPr>
        <w:spacing w:before="0" w:after="0" w:line="408" w:lineRule="exact"/>
        <w:ind w:left="0" w:right="0" w:firstLine="576"/>
        <w:jc w:val="left"/>
      </w:pPr>
      <w:r>
        <w:rPr/>
        <w:t xml:space="preserve">(B) Rate class 2 - 44 percent;</w:t>
      </w:r>
    </w:p>
    <w:p>
      <w:pPr>
        <w:spacing w:before="0" w:after="0" w:line="408" w:lineRule="exact"/>
        <w:ind w:left="0" w:right="0" w:firstLine="576"/>
        <w:jc w:val="left"/>
      </w:pPr>
      <w:r>
        <w:rPr/>
        <w:t xml:space="preserve">(C) Rate class 3 - 48 percent;</w:t>
      </w:r>
    </w:p>
    <w:p>
      <w:pPr>
        <w:spacing w:before="0" w:after="0" w:line="408" w:lineRule="exact"/>
        <w:ind w:left="0" w:right="0" w:firstLine="576"/>
        <w:jc w:val="left"/>
      </w:pPr>
      <w:r>
        <w:rPr/>
        <w:t xml:space="preserve">(D) Rate class 4 - 52 percent;</w:t>
      </w:r>
    </w:p>
    <w:p>
      <w:pPr>
        <w:spacing w:before="0" w:after="0" w:line="408" w:lineRule="exact"/>
        <w:ind w:left="0" w:right="0" w:firstLine="576"/>
        <w:jc w:val="left"/>
      </w:pPr>
      <w:r>
        <w:rPr/>
        <w:t xml:space="preserve">(E) Rate class 5 - 56 percent;</w:t>
      </w:r>
    </w:p>
    <w:p>
      <w:pPr>
        <w:spacing w:before="0" w:after="0" w:line="408" w:lineRule="exact"/>
        <w:ind w:left="0" w:right="0" w:firstLine="576"/>
        <w:jc w:val="left"/>
      </w:pPr>
      <w:r>
        <w:rPr/>
        <w:t xml:space="preserve">(F) Rate class 6 - 60 percent;</w:t>
      </w:r>
    </w:p>
    <w:p>
      <w:pPr>
        <w:spacing w:before="0" w:after="0" w:line="408" w:lineRule="exact"/>
        <w:ind w:left="0" w:right="0" w:firstLine="576"/>
        <w:jc w:val="left"/>
      </w:pPr>
      <w:r>
        <w:rPr/>
        <w:t xml:space="preserve">(G) Rate class 7 - 64 percent;</w:t>
      </w:r>
    </w:p>
    <w:p>
      <w:pPr>
        <w:spacing w:before="0" w:after="0" w:line="408" w:lineRule="exact"/>
        <w:ind w:left="0" w:right="0" w:firstLine="576"/>
        <w:jc w:val="left"/>
      </w:pPr>
      <w:r>
        <w:rPr/>
        <w:t xml:space="preserve">(H) Rate class 8 - 68 percent;</w:t>
      </w:r>
    </w:p>
    <w:p>
      <w:pPr>
        <w:spacing w:before="0" w:after="0" w:line="408" w:lineRule="exact"/>
        <w:ind w:left="0" w:right="0" w:firstLine="576"/>
        <w:jc w:val="left"/>
      </w:pPr>
      <w:r>
        <w:rPr/>
        <w:t xml:space="preserve">(I) Rate class 9 - 72 percent;</w:t>
      </w:r>
    </w:p>
    <w:p>
      <w:pPr>
        <w:spacing w:before="0" w:after="0" w:line="408" w:lineRule="exact"/>
        <w:ind w:left="0" w:right="0" w:firstLine="576"/>
        <w:jc w:val="left"/>
      </w:pPr>
      <w:r>
        <w:rPr/>
        <w:t xml:space="preserve">(J) Rate class 10 - 76 percent;</w:t>
      </w:r>
    </w:p>
    <w:p>
      <w:pPr>
        <w:spacing w:before="0" w:after="0" w:line="408" w:lineRule="exact"/>
        <w:ind w:left="0" w:right="0" w:firstLine="576"/>
        <w:jc w:val="left"/>
      </w:pPr>
      <w:r>
        <w:rPr/>
        <w:t xml:space="preserve">(K) Rate class 11 - 80 percent;</w:t>
      </w:r>
    </w:p>
    <w:p>
      <w:pPr>
        <w:spacing w:before="0" w:after="0" w:line="408" w:lineRule="exact"/>
        <w:ind w:left="0" w:right="0" w:firstLine="576"/>
        <w:jc w:val="left"/>
      </w:pPr>
      <w:r>
        <w:rPr/>
        <w:t xml:space="preserve">(L) Rate class 12 - 84 percent;</w:t>
      </w:r>
    </w:p>
    <w:p>
      <w:pPr>
        <w:spacing w:before="0" w:after="0" w:line="408" w:lineRule="exact"/>
        <w:ind w:left="0" w:right="0" w:firstLine="576"/>
        <w:jc w:val="left"/>
      </w:pPr>
      <w:r>
        <w:rPr/>
        <w:t xml:space="preserve">(M) Rate class 13 - 88 percent;</w:t>
      </w:r>
    </w:p>
    <w:p>
      <w:pPr>
        <w:spacing w:before="0" w:after="0" w:line="408" w:lineRule="exact"/>
        <w:ind w:left="0" w:right="0" w:firstLine="576"/>
        <w:jc w:val="left"/>
      </w:pPr>
      <w:r>
        <w:rPr/>
        <w:t xml:space="preserve">(N) Rate class 14 - 92 percent;</w:t>
      </w:r>
    </w:p>
    <w:p>
      <w:pPr>
        <w:spacing w:before="0" w:after="0" w:line="408" w:lineRule="exact"/>
        <w:ind w:left="0" w:right="0" w:firstLine="576"/>
        <w:jc w:val="left"/>
      </w:pPr>
      <w:r>
        <w:rPr/>
        <w:t xml:space="preserve">(O) Rate class 15 - 96 percent;</w:t>
      </w:r>
    </w:p>
    <w:p>
      <w:pPr>
        <w:spacing w:before="0" w:after="0" w:line="408" w:lineRule="exact"/>
        <w:ind w:left="0" w:right="0" w:firstLine="576"/>
        <w:jc w:val="left"/>
      </w:pPr>
      <w:r>
        <w:rPr/>
        <w:t xml:space="preserve">(P) Rate class 16 - 100 percent;</w:t>
      </w:r>
    </w:p>
    <w:p>
      <w:pPr>
        <w:spacing w:before="0" w:after="0" w:line="408" w:lineRule="exact"/>
        <w:ind w:left="0" w:right="0" w:firstLine="576"/>
        <w:jc w:val="left"/>
      </w:pPr>
      <w:r>
        <w:rPr/>
        <w:t xml:space="preserve">(Q) Rate class 17 - 104 percent;</w:t>
      </w:r>
    </w:p>
    <w:p>
      <w:pPr>
        <w:spacing w:before="0" w:after="0" w:line="408" w:lineRule="exact"/>
        <w:ind w:left="0" w:right="0" w:firstLine="576"/>
        <w:jc w:val="left"/>
      </w:pPr>
      <w:r>
        <w:rPr/>
        <w:t xml:space="preserve">(R) Rate class 18 - 108 percent;</w:t>
      </w:r>
    </w:p>
    <w:p>
      <w:pPr>
        <w:spacing w:before="0" w:after="0" w:line="408" w:lineRule="exact"/>
        <w:ind w:left="0" w:right="0" w:firstLine="576"/>
        <w:jc w:val="left"/>
      </w:pPr>
      <w:r>
        <w:rPr/>
        <w:t xml:space="preserve">(S) Rate class 19 - 112 percent;</w:t>
      </w:r>
    </w:p>
    <w:p>
      <w:pPr>
        <w:spacing w:before="0" w:after="0" w:line="408" w:lineRule="exact"/>
        <w:ind w:left="0" w:right="0" w:firstLine="576"/>
        <w:jc w:val="left"/>
      </w:pPr>
      <w:r>
        <w:rPr/>
        <w:t xml:space="preserve">(T) Rate class 20 - 116 percent; and</w:t>
      </w:r>
    </w:p>
    <w:p>
      <w:pPr>
        <w:spacing w:before="0" w:after="0" w:line="408" w:lineRule="exact"/>
        <w:ind w:left="0" w:right="0" w:firstLine="576"/>
        <w:jc w:val="left"/>
      </w:pPr>
      <w:r>
        <w:rPr/>
        <w:t xml:space="preserve">(U) Rate classes 21 through 40 - 120 percent.</w:t>
      </w:r>
    </w:p>
    <w:p>
      <w:pPr>
        <w:spacing w:before="0" w:after="0" w:line="408" w:lineRule="exact"/>
        <w:ind w:left="0" w:right="0" w:firstLine="576"/>
        <w:jc w:val="left"/>
      </w:pPr>
      <w:r>
        <w:rPr/>
        <w:t xml:space="preserve">(iii) For rate year 2023, for any employer with 10 or fewer employees as reported on the employer's fourth quarter report to the department for 2021 and whose rate class is greater than rate class 7, the employer's rate class, only for purposes of the rate classes in (b)(ii)(A) through (U) of this subsection (1), is rate class 7.</w:t>
      </w:r>
    </w:p>
    <w:p>
      <w:pPr>
        <w:spacing w:before="0" w:after="0" w:line="408" w:lineRule="exact"/>
        <w:ind w:left="0" w:right="0" w:firstLine="576"/>
        <w:jc w:val="left"/>
      </w:pPr>
      <w:r>
        <w:rPr/>
        <w:t xml:space="preserve">(iv) For the purposes of this section:</w:t>
      </w:r>
    </w:p>
    <w:p>
      <w:pPr>
        <w:spacing w:before="0" w:after="0" w:line="408" w:lineRule="exact"/>
        <w:ind w:left="0" w:right="0" w:firstLine="576"/>
        <w:jc w:val="left"/>
      </w:pPr>
      <w:r>
        <w:rPr/>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w:t>
      </w:r>
    </w:p>
    <w:p>
      <w:pPr>
        <w:spacing w:before="0" w:after="0" w:line="408" w:lineRule="exact"/>
        <w:ind w:left="0" w:right="0" w:firstLine="576"/>
        <w:jc w:val="left"/>
      </w:pPr>
      <w:r>
        <w:rPr/>
        <w:t xml:space="preserve">(B)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(c) For employers who do not meet the definition of "qualified employer" by reason of failure to pay contributions when due:</w:t>
      </w:r>
    </w:p>
    <w:p>
      <w:pPr>
        <w:spacing w:before="0" w:after="0" w:line="408" w:lineRule="exact"/>
        <w:ind w:left="0" w:right="0" w:firstLine="576"/>
        <w:jc w:val="left"/>
      </w:pPr>
      <w:r>
        <w:rPr/>
        <w:t xml:space="preserve">(i)(A) For an employer who does not enter into an approved agency-deferred payment contract as described in (c)(i)(B) or (C) of this subsection, the array calculation factor rate shall be the rate it would have been if the employer had not been delinquent in payment plus an additional one percent or, if the employer is delinquent in payment for a second or more consecutive year, an additional two percent;</w:t>
      </w:r>
    </w:p>
    <w:p>
      <w:pPr>
        <w:spacing w:before="0" w:after="0" w:line="408" w:lineRule="exact"/>
        <w:ind w:left="0" w:right="0" w:firstLine="576"/>
        <w:jc w:val="left"/>
      </w:pPr>
      <w:r>
        <w:rPr/>
        <w:t xml:space="preserve">(B) For an employer who enters an approved agency-deferred payment contract by September 30th of the previous rate year, the array calculation factor rate shall be the rate it would have been if the employer had not been delinquent in payment;</w:t>
      </w:r>
    </w:p>
    <w:p>
      <w:pPr>
        <w:spacing w:before="0" w:after="0" w:line="408" w:lineRule="exact"/>
        <w:ind w:left="0" w:right="0" w:firstLine="576"/>
        <w:jc w:val="left"/>
      </w:pPr>
      <w:r>
        <w:rPr/>
        <w:t xml:space="preserve">(C) For an employer who enters an approved agency-deferred payment contract after September 30th of the previous rate year, but within thirty days of the date the department sent its first tax rate notice, the array calculation factor rate shall be the rate it would have been had the employer not been delinquent in payment plus an additional one-half of one percent or, if the employer is delinquent in payment for a second or more consecutive year, an additional one and one-half percent;</w:t>
      </w:r>
    </w:p>
    <w:p>
      <w:pPr>
        <w:spacing w:before="0" w:after="0" w:line="408" w:lineRule="exact"/>
        <w:ind w:left="0" w:right="0" w:firstLine="576"/>
        <w:jc w:val="left"/>
      </w:pPr>
      <w:r>
        <w:rPr/>
        <w:t xml:space="preserve">(D) For an employer who enters an approved agency-deferred payment contract as described in (c)(i)(B) or (C) of this subsection, but who fails to make any one of the succeeding deferred payments or fails to submit any succeeding tax report and payment in a timely manner, the array calculation factor rate shall immediately revert to the applicable array calculation factor rate under (c)(i)(A) of this subsection; and</w:t>
      </w:r>
    </w:p>
    <w:p>
      <w:pPr>
        <w:spacing w:before="0" w:after="0" w:line="408" w:lineRule="exact"/>
        <w:ind w:left="0" w:right="0" w:firstLine="576"/>
        <w:jc w:val="left"/>
      </w:pPr>
      <w:r>
        <w:rPr/>
        <w:t xml:space="preserve">(ii) The social cost factor rate shall be the social cost factor rate assigned to rate class 40 under (b)(ii) of this subsection.</w:t>
      </w:r>
    </w:p>
    <w:p>
      <w:pPr>
        <w:spacing w:before="0" w:after="0" w:line="408" w:lineRule="exact"/>
        <w:ind w:left="0" w:right="0" w:firstLine="576"/>
        <w:jc w:val="left"/>
      </w:pPr>
      <w:r>
        <w:rPr/>
        <w:t xml:space="preserve">(d) For all other employers not qualified to be in the array:</w:t>
      </w:r>
    </w:p>
    <w:p>
      <w:pPr>
        <w:spacing w:before="0" w:after="0" w:line="408" w:lineRule="exact"/>
        <w:ind w:left="0" w:right="0" w:firstLine="576"/>
        <w:jc w:val="left"/>
      </w:pPr>
      <w:r>
        <w:rPr/>
        <w:t xml:space="preserve">(i)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pPr>
        <w:spacing w:before="0" w:after="0" w:line="408" w:lineRule="exact"/>
        <w:ind w:left="0" w:right="0" w:firstLine="576"/>
        <w:jc w:val="left"/>
      </w:pPr>
      <w:r>
        <w:rPr/>
        <w:t xml:space="preserve">(ii) The social cost factor rate shall be a rate equal to the average industry social cost factor rate as determined by the commissioner, multiplied by the history factor, but not more than the social cost factor rate assigned to rate class 40 under (b)(ii) of this subsection; and</w:t>
      </w:r>
    </w:p>
    <w:p>
      <w:pPr>
        <w:spacing w:before="0" w:after="0" w:line="408" w:lineRule="exact"/>
        <w:ind w:left="0" w:right="0" w:firstLine="576"/>
        <w:jc w:val="left"/>
      </w:pPr>
      <w:r>
        <w:rPr/>
        <w:t xml:space="preserve">(iii)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rPr/>
        <w:noBreakHyphen/>
      </w:r>
      <w:r>
        <w:rPr/>
        <w:t xml:space="preserve">hundredths or more, in which case the second decimal place shall be rounded to the next higher digit. The commissioner shall determine the history factor according to the history ratio as follows:</w:t>
      </w:r>
    </w:p>
    <w:tbl>
      <w:tblPr>
        <w:tblW w:w="0" w:type="auto"/>
        <w:jc w:val="center"/>
        <w:tcMar>
          <w:tblCellMar>
            <w:top w:w="0" w:type="dxa"/>
          </w:tblCellMar>
        </w:tcMar>
        <w:tcMar>
          <w:tblCellMar>
            <w:left w:w="70" w:type="dxa"/>
            <w:right w:w="70" w:type="dxa"/>
          </w:tblCellMar>
        </w:tcMar>
      </w:tblPr>
      <w:tblGrid>
        <w:gridCol w:w="1220"/>
        <w:gridCol w:w="1220"/>
        <w:gridCol w:w="1210"/>
        <w:gridCol w:w="1210"/>
      </w:tblGrid>
      <w:tr>
        <w:trPr>
          <w:cantSplit/>
          <w:tblHeader/>
        </w:trPr>
        <w:tc>
          <w:tcPr>
            <w:tcW w:w="12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Ratio</w:t>
            </w:r>
          </w:p>
        </w:tc>
        <w:tc>
          <w:tcPr>
            <w:tcW w:w="1210" w:type="dxa"/>
            <w:vAlign w:val="top"/>
            <w:tcMar>
              <w:left w:w="120"/>
            </w:tcMar>
            <w:tcMar>
              <w:right w:w="120"/>
            </w:tcMar>
            <w:tcMar>
              <w:top w:w="40"/>
            </w:tcMar>
            <w:tcMar>
              <w:bottom w:w="40"/>
            </w:tcMar>
          </w:tcPr>
          <w:p>
            <w:pPr>
              <w:spacing w:before="0" w:after="0" w:line="408" w:lineRule="exact"/>
              <w:ind w:left="0" w:right="0" w:firstLine="0"/>
              <w:jc w:val="left"/>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Factor</w:t>
            </w:r>
          </w:p>
          <w:p>
            <w:pPr>
              <w:spacing w:before="0" w:after="0" w:line="408" w:lineRule="exact"/>
              <w:ind w:left="0" w:right="0" w:firstLine="0"/>
              <w:jc w:val="center"/>
            </w:pPr>
            <w:r>
              <w:rPr>
                <w:rFonts w:ascii="Times New Roman" w:hAnsi="Times New Roman"/>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At least</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Less than</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w:t>
            </w:r>
          </w:p>
        </w:tc>
      </w:tr>
    </w:tbl>
    <w:p>
      <w:pPr>
        <w:spacing w:before="120" w:after="0" w:line="408" w:lineRule="exact"/>
        <w:ind w:left="0" w:right="0" w:firstLine="576"/>
        <w:jc w:val="left"/>
      </w:pPr>
      <w:r>
        <w:rPr/>
        <w:t xml:space="preserve">(2) Assignment of employers by the commissioner to industrial classification, for purposes of this section, shall be in accordance with established classification practices found in the North American industry classification system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041</w:t>
      </w:r>
      <w:r>
        <w:rPr/>
        <w:t xml:space="preserve"> and 2021 c 2 s 19 are each amended to read as follows:</w:t>
      </w:r>
    </w:p>
    <w:p>
      <w:pPr>
        <w:spacing w:before="0" w:after="0" w:line="408" w:lineRule="exact"/>
        <w:ind w:left="0" w:right="0" w:firstLine="576"/>
        <w:jc w:val="left"/>
      </w:pPr>
      <w:r>
        <w:rPr>
          <w:u w:val="single"/>
        </w:rPr>
        <w:t xml:space="preserve">(1)</w:t>
      </w:r>
      <w:r>
        <w:rPr/>
        <w:t xml:space="preserve"> Except for </w:t>
      </w:r>
      <w:r>
        <w:t>((</w:t>
      </w:r>
      <w:r>
        <w:rPr>
          <w:strike/>
        </w:rPr>
        <w:t xml:space="preserve">contributions assessed for</w:t>
      </w:r>
      <w:r>
        <w:t>))</w:t>
      </w:r>
      <w:r>
        <w:rPr/>
        <w:t xml:space="preserve"> rate years 2021, 2022, 2023, 2024, and 2025, </w:t>
      </w:r>
      <w:r>
        <w:t>((</w:t>
      </w:r>
      <w:r>
        <w:rPr>
          <w:strike/>
        </w:rPr>
        <w:t xml:space="preserve">the contribution rate of</w:t>
      </w:r>
      <w:r>
        <w:t>))</w:t>
      </w:r>
      <w:r>
        <w:rPr/>
        <w:t xml:space="preserve"> each employer subject to contributions under RCW 50.24.010 shall </w:t>
      </w:r>
      <w:r>
        <w:t>((</w:t>
      </w:r>
      <w:r>
        <w:rPr>
          <w:strike/>
        </w:rPr>
        <w:t xml:space="preserve">include</w:t>
      </w:r>
      <w:r>
        <w:t>))</w:t>
      </w:r>
      <w:r>
        <w:rPr/>
        <w:t xml:space="preserve"> </w:t>
      </w:r>
      <w:r>
        <w:rPr>
          <w:u w:val="single"/>
        </w:rPr>
        <w:t xml:space="preserve">pay</w:t>
      </w:r>
      <w:r>
        <w:rPr/>
        <w:t xml:space="preserve"> a solvency surcharge determined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This section shall apply to employers</w:t>
      </w:r>
      <w:r>
        <w:t>((</w:t>
      </w:r>
      <w:r>
        <w:rPr>
          <w:strike/>
        </w:rPr>
        <w:t xml:space="preserve">' contributions</w:t>
      </w:r>
      <w:r>
        <w:t>))</w:t>
      </w:r>
      <w:r>
        <w:rPr/>
        <w:t xml:space="preserve"> for a rate year immediately following a cut-off date only if, on the cut-off date, the balance in the unemployment compensation fund is determined by the commissioner to be an amount that will provide fewer than seven months of unemployment benefits.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solvency surcharge shall be the lowest rate necessary, as determined by the commissioner, but not more than two-tenths of one percent, to provide revenue during the applicable rate year that will fund unemployment benefits for the number of months that is the difference between nine months and the number of months for which the balance in the unemployment compensation fund on the cut-off date will provide benefits.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basis for determining the number of months of unemployment benefits shall be the same basis used in RCW 50.29.025(1)(b)(i)(B).</w:t>
      </w:r>
    </w:p>
    <w:p>
      <w:pPr>
        <w:spacing w:before="0" w:after="0" w:line="408" w:lineRule="exact"/>
        <w:ind w:left="0" w:right="0" w:firstLine="576"/>
        <w:jc w:val="left"/>
      </w:pPr>
      <w:r>
        <w:rPr>
          <w:u w:val="single"/>
        </w:rPr>
        <w:t xml:space="preserve">(d) Funds collected under this subsection (1) shall be deposited into the unemployment compensation fund.</w:t>
      </w:r>
    </w:p>
    <w:p>
      <w:pPr>
        <w:spacing w:before="0" w:after="0" w:line="408" w:lineRule="exact"/>
        <w:ind w:left="0" w:right="0" w:firstLine="576"/>
        <w:jc w:val="left"/>
      </w:pPr>
      <w:r>
        <w:rPr>
          <w:u w:val="single"/>
        </w:rPr>
        <w:t xml:space="preserve">(2) Each employer subject to contributions under RCW 50.24.010 shall pay a wage replacement program surcharge determined as follows:</w:t>
      </w:r>
    </w:p>
    <w:p>
      <w:pPr>
        <w:spacing w:before="0" w:after="0" w:line="408" w:lineRule="exact"/>
        <w:ind w:left="0" w:right="0" w:firstLine="576"/>
        <w:jc w:val="left"/>
      </w:pPr>
      <w:r>
        <w:rPr>
          <w:u w:val="single"/>
        </w:rPr>
        <w:t xml:space="preserve">(a) For rate years 2026 and 2027, the rate shall be one one-hundredths of one percent;</w:t>
      </w:r>
    </w:p>
    <w:p>
      <w:pPr>
        <w:spacing w:before="0" w:after="0" w:line="408" w:lineRule="exact"/>
        <w:ind w:left="0" w:right="0" w:firstLine="576"/>
        <w:jc w:val="left"/>
      </w:pPr>
      <w:r>
        <w:rPr>
          <w:u w:val="single"/>
        </w:rPr>
        <w:t xml:space="preserve">(b) For rate years beginning in 2028 and thereafter, the commissioner shall determine the wage replacement program surcharge at the lowest rate necessary to provide revenue during the applicable rate year that will fund administration and benefits of the program provided in sections 1 through 18 of this act; however, the total combined rate of (b) of this subsection (2) and the rate provided in RCW 50.24.014(1)(a) may not exceed eight one-hundredths of one percent;</w:t>
      </w:r>
    </w:p>
    <w:p>
      <w:pPr>
        <w:spacing w:before="0" w:after="0" w:line="408" w:lineRule="exact"/>
        <w:ind w:left="0" w:right="0" w:firstLine="576"/>
        <w:jc w:val="left"/>
      </w:pPr>
      <w:r>
        <w:rPr>
          <w:u w:val="single"/>
        </w:rPr>
        <w:t xml:space="preserve">(c) Funds collected under this subsection (2) must be deposited into the Washington wage replacement account created under section 3 of this act</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2023 c 475 s 934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 except as provided in subsection (4) of this section.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w:t>
      </w:r>
      <w:r>
        <w:t>((</w:t>
      </w:r>
      <w:r>
        <w:rPr>
          <w:strike/>
        </w:rPr>
        <w:t xml:space="preserve">two</w:t>
      </w:r>
      <w:r>
        <w:t>))</w:t>
      </w:r>
      <w:r>
        <w:rPr/>
        <w:t xml:space="preserve"> </w:t>
      </w:r>
      <w:r>
        <w:rPr>
          <w:u w:val="single"/>
        </w:rPr>
        <w:t xml:space="preserve">one</w:t>
      </w:r>
      <w:r>
        <w:rPr/>
        <w:t xml:space="preserve">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50.29.025(1)(d),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rPr/>
        <w:t xml:space="preserve">(4) During the 2023-2025 fiscal biennium, moneys in the account in subsection (1)(a) of this section may be appropriated for poverty reduction programs that coordinate employment, training, education, and other existing systems designed to assist low-income individuals attain self-sufficiency.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50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fb952b1aded843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5f3f9e8a5240c6" /><Relationship Type="http://schemas.openxmlformats.org/officeDocument/2006/relationships/footer" Target="/word/footer1.xml" Id="Rfb952b1aded84380" /></Relationships>
</file>