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1e61ec6bdf4264" /></Relationships>
</file>

<file path=word/document.xml><?xml version="1.0" encoding="utf-8"?>
<w:document xmlns:w="http://schemas.openxmlformats.org/wordprocessingml/2006/main">
  <w:body>
    <w:p>
      <w:r>
        <w:t>S-1608.1</w:t>
      </w:r>
    </w:p>
    <w:p>
      <w:pPr>
        <w:jc w:val="center"/>
      </w:pPr>
      <w:r>
        <w:t>_______________________________________________</w:t>
      </w:r>
    </w:p>
    <w:p/>
    <w:p>
      <w:pPr>
        <w:jc w:val="center"/>
      </w:pPr>
      <w:r>
        <w:rPr>
          <w:b/>
        </w:rPr>
        <w:t>SUBSTITUTE SENATE BILL 5614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Salomon, Trudeau, Alvarado, Liias, Frame, and Nobles)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impact fees; amending RCW 82.02.050; and repealing RCW 43.31.980.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(3)(a)</w:t>
      </w:r>
      <w:r>
        <w:t>((</w:t>
      </w:r>
      <w:r>
        <w:rPr>
          <w:strike/>
        </w:rPr>
        <w:t xml:space="preserve">(i)</w:t>
      </w:r>
      <w:r>
        <w:t>))</w:t>
      </w:r>
      <w:r>
        <w:rPr/>
        <w:t xml:space="preserve"> Counties, cities, and towns collecting impact fees must, by September 1, </w:t>
      </w:r>
      <w:r>
        <w:t>((</w:t>
      </w:r>
      <w:r>
        <w:rPr>
          <w:strike/>
        </w:rPr>
        <w:t xml:space="preserve">2016</w:t>
      </w:r>
      <w:r>
        <w:t>))</w:t>
      </w:r>
      <w:r>
        <w:rPr/>
        <w:t xml:space="preserve"> </w:t>
      </w:r>
      <w:r>
        <w:rPr>
          <w:u w:val="single"/>
        </w:rPr>
        <w:t xml:space="preserve">2026</w:t>
      </w:r>
      <w:r>
        <w:rPr/>
        <w:t xml:space="preserve">, adopt and maintain a system for the deferred collection of impact fees for single-family detached and attached residential construction. The deferral system must include a process by which an applicant for a building permit for </w:t>
      </w:r>
      <w:r>
        <w:t>((</w:t>
      </w:r>
      <w:r>
        <w:rPr>
          <w:strike/>
        </w:rPr>
        <w:t xml:space="preserve">a</w:t>
      </w:r>
      <w:r>
        <w:t>))</w:t>
      </w:r>
      <w:r>
        <w:rPr/>
        <w:t xml:space="preserve"> single-family detached or attached residence</w:t>
      </w:r>
      <w:r>
        <w:rPr>
          <w:u w:val="single"/>
        </w:rPr>
        <w:t xml:space="preserve">s</w:t>
      </w:r>
      <w:r>
        <w:rPr/>
        <w:t xml:space="preserve"> may </w:t>
      </w:r>
      <w:r>
        <w:t>((</w:t>
      </w:r>
      <w:r>
        <w:rPr>
          <w:strike/>
        </w:rPr>
        <w:t xml:space="preserve">request a deferral of the full impact fee payment. The deferral system offered by a county, city, or town under this subsection (3) must include one or more of the following options:</w:t>
      </w:r>
    </w:p>
    <w:p>
      <w:pPr>
        <w:spacing w:before="0" w:after="0" w:line="408" w:lineRule="exact"/>
        <w:ind w:left="0" w:right="0" w:firstLine="576"/>
        <w:jc w:val="left"/>
      </w:pPr>
      <w:r>
        <w:rPr>
          <w:strike/>
        </w:rPr>
        <w:t xml:space="preserve">(A) Deferring collection of the impact fee payment until final inspection;</w:t>
      </w:r>
    </w:p>
    <w:p>
      <w:pPr>
        <w:spacing w:before="0" w:after="0" w:line="408" w:lineRule="exact"/>
        <w:ind w:left="0" w:right="0" w:firstLine="576"/>
        <w:jc w:val="left"/>
      </w:pPr>
      <w:r>
        <w:rPr>
          <w:strike/>
        </w:rPr>
        <w:t xml:space="preserve">(B) Deferring collection of the impact fee payment until certificate of occupancy or equivalent certification; or</w:t>
      </w:r>
    </w:p>
    <w:p>
      <w:pPr>
        <w:spacing w:before="0" w:after="0" w:line="408" w:lineRule="exact"/>
        <w:ind w:left="0" w:right="0" w:firstLine="576"/>
        <w:jc w:val="left"/>
      </w:pPr>
      <w:r>
        <w:rPr>
          <w:strike/>
        </w:rPr>
        <w:t xml:space="preserve">(C) Deferring collection of the impact fee payment until the time of closing of the first sale of the property occurring after the issuance of the applicable building permit.</w:t>
      </w:r>
    </w:p>
    <w:p>
      <w:pPr>
        <w:spacing w:before="0" w:after="0" w:line="408" w:lineRule="exact"/>
        <w:ind w:left="0" w:right="0" w:firstLine="576"/>
        <w:jc w:val="left"/>
      </w:pPr>
      <w:r>
        <w:rPr>
          <w:strike/>
        </w:rPr>
        <w:t xml:space="preserve">(ii) Counties, cities, and towns utilizing the deferral process required by this subsection (3)(a)</w:t>
      </w:r>
      <w:r>
        <w:t>))</w:t>
      </w:r>
      <w:r>
        <w:rPr/>
        <w:t xml:space="preserve"> </w:t>
      </w:r>
      <w:r>
        <w:rPr>
          <w:u w:val="single"/>
        </w:rPr>
        <w:t xml:space="preserve">execute a promissory note in favor of the county, city, or town imposing the impact fee for the full value of the impact fees imposed. The note must come due at the time provided for in (b) of this subsection (3). The note must identify each impact fee that it covers and the total amount of fees that are due. The note must be recorded with the county auditor at the expense of the applicant. If lots have not been created on the subdivision, the note must be recorded for the entire subdivision. The payment of the fees detailed in the promissory note is the legal responsibility of the applicant.</w:t>
      </w:r>
    </w:p>
    <w:p>
      <w:pPr>
        <w:spacing w:before="0" w:after="0" w:line="408" w:lineRule="exact"/>
        <w:ind w:left="0" w:right="0" w:firstLine="576"/>
        <w:jc w:val="left"/>
      </w:pPr>
      <w:r>
        <w:rPr>
          <w:u w:val="single"/>
        </w:rPr>
        <w:t xml:space="preserve">(b) The promissory note must include a provision for payment of the impact fee:</w:t>
      </w:r>
    </w:p>
    <w:p>
      <w:pPr>
        <w:spacing w:before="0" w:after="0" w:line="408" w:lineRule="exact"/>
        <w:ind w:left="0" w:right="0" w:firstLine="576"/>
        <w:jc w:val="left"/>
      </w:pPr>
      <w:r>
        <w:rPr>
          <w:u w:val="single"/>
        </w:rPr>
        <w:t xml:space="preserve">(i) At the time of the issuance of a certificate of occupancy or equivalent certification for the lot or unit;</w:t>
      </w:r>
    </w:p>
    <w:p>
      <w:pPr>
        <w:spacing w:before="0" w:after="0" w:line="408" w:lineRule="exact"/>
        <w:ind w:left="0" w:right="0" w:firstLine="576"/>
        <w:jc w:val="left"/>
      </w:pPr>
      <w:r>
        <w:rPr>
          <w:u w:val="single"/>
        </w:rPr>
        <w:t xml:space="preserve">(ii) At the time of the closing of the first sale of the lot or unit occurring after the issuance of the applicable building permit; or</w:t>
      </w:r>
    </w:p>
    <w:p>
      <w:pPr>
        <w:spacing w:before="0" w:after="0" w:line="408" w:lineRule="exact"/>
        <w:ind w:left="0" w:right="0" w:firstLine="576"/>
        <w:jc w:val="left"/>
      </w:pPr>
      <w:r>
        <w:rPr>
          <w:u w:val="single"/>
        </w:rPr>
        <w:t xml:space="preserve">(iii) At the time of final inspection.</w:t>
      </w:r>
    </w:p>
    <w:p>
      <w:pPr>
        <w:spacing w:before="0" w:after="0" w:line="408" w:lineRule="exact"/>
        <w:ind w:left="0" w:right="0" w:firstLine="576"/>
        <w:jc w:val="left"/>
      </w:pPr>
      <w:r>
        <w:rPr>
          <w:u w:val="single"/>
        </w:rPr>
        <w:t xml:space="preserve">(c)(i) If a county, city, or town has determined that payment of the impact fees is due at the time of the issuance of the certificate of occupancy or equivalent certification or at the time of the final inspection, the county, city, or town</w:t>
      </w:r>
      <w:r>
        <w:rPr/>
        <w:t xml:space="preserve"> may withhold certification of final inspection, </w:t>
      </w:r>
      <w:r>
        <w:rPr>
          <w:u w:val="single"/>
        </w:rPr>
        <w:t xml:space="preserve">the</w:t>
      </w:r>
      <w:r>
        <w:rPr/>
        <w:t xml:space="preserve"> certificate of occupancy, or equivalent certification until the impact fees have been paid in full</w:t>
      </w:r>
      <w:r>
        <w:rPr>
          <w:u w:val="single"/>
        </w:rPr>
        <w:t xml:space="preserve">. If the applicant has not paid in full by the time of the first sale of the lot or unit occurring after the issuance of the applicable building permit, then the impact fees are due immediately at the time of sale.</w:t>
      </w:r>
    </w:p>
    <w:p>
      <w:pPr>
        <w:spacing w:before="0" w:after="0" w:line="408" w:lineRule="exact"/>
        <w:ind w:left="0" w:right="0" w:firstLine="576"/>
        <w:jc w:val="left"/>
      </w:pPr>
      <w:r>
        <w:rPr>
          <w:u w:val="single"/>
        </w:rPr>
        <w:t xml:space="preserve">(ii) If the full impact fees have not been paid within one month of the sale of the first sale of the lot or unit occurring after the issuance of the applicable building permit, then the note bears interest at the rate provided for in RCW 82.32.050(2). The rate must be adjusted on the first day of January of each year for use in computing interest for that calendar year. The county treasurer must provide the county, city, or town covered by the promissory note with the variable rate on or before December 31st of the year preceding the year in which the rate applies.</w:t>
      </w:r>
    </w:p>
    <w:p>
      <w:pPr>
        <w:spacing w:before="0" w:after="0" w:line="408" w:lineRule="exact"/>
        <w:ind w:left="0" w:right="0" w:firstLine="576"/>
        <w:jc w:val="left"/>
      </w:pPr>
      <w:r>
        <w:rPr>
          <w:u w:val="single"/>
        </w:rPr>
        <w:t xml:space="preserve">(iii) In addition to the interest provided for in (c)(ii) of this subsection (3), if an applicant has not paid the impact fees in full within one month of the first sale of the lot or unit occurring after the issuance of the applicable building permit, the applicant must additionally be assessed a penalty of five percent of the total amount remaining due on the promissory note. If the promissory note has not been paid in full within two months of the time of the first sale of the lot or unit occurring after the issuance of the applicable building permit, the applicant must instead be assessed a penalty of 10 percent of the total amount remaining due on the promissory note. If the promissory note has not been paid in full within three months of the time of the first sale of the lot or unit occurring after the issuance of the applicable building permit, the applicant must instead be assessed a penalty of 20 percent of the total amount remaining due on the promissory note.</w:t>
      </w:r>
    </w:p>
    <w:p>
      <w:pPr>
        <w:spacing w:before="0" w:after="0" w:line="408" w:lineRule="exact"/>
        <w:ind w:left="0" w:right="0" w:firstLine="576"/>
        <w:jc w:val="left"/>
      </w:pPr>
      <w:r>
        <w:rPr>
          <w:u w:val="single"/>
        </w:rPr>
        <w:t xml:space="preserve">(iv) The interest and penalties provided for in this subsection (3)(c) are collectible only from the applicant and may not be a lien against the property sold by the applicant for which the impact fees were due. An applicant who has not paid the impact fees in full within one month of the first sale of the lot or unit occurring after the issuance of the applicable building permit are personally liable for the full amount of the note, unless the sale has been recorded in the official county property record</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(d)</w:t>
      </w:r>
      <w:r>
        <w:rPr/>
        <w:t xml:space="preserve">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t>((</w:t>
      </w:r>
      <w:r>
        <w:rPr>
          <w:strike/>
        </w:rPr>
        <w:t xml:space="preserve">(iv)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strike/>
        </w:rPr>
        <w:t xml:space="preserve">(b)</w:t>
      </w:r>
      <w:r>
        <w:t>))</w:t>
      </w:r>
      <w:r>
        <w:rPr/>
        <w:t xml:space="preserve"> </w:t>
      </w:r>
      <w:r>
        <w:rPr>
          <w:u w:val="single"/>
        </w:rPr>
        <w:t xml:space="preserve">(e) The applicant must provide written disclosure of a deferral agreement to a property buyer as required by chapter 64.06 RCW.</w:t>
      </w:r>
    </w:p>
    <w:p>
      <w:pPr>
        <w:spacing w:before="0" w:after="0" w:line="408" w:lineRule="exact"/>
        <w:ind w:left="0" w:right="0" w:firstLine="576"/>
        <w:jc w:val="left"/>
      </w:pPr>
      <w:r>
        <w:rPr>
          <w:u w:val="single"/>
        </w:rPr>
        <w:t xml:space="preserve">(f)</w:t>
      </w:r>
      <w:r>
        <w:rPr/>
        <w:t xml:space="preserve"> The term of an impact fee deferral under this subsection (3) may not exceed </w:t>
      </w:r>
      <w:r>
        <w:t>((</w:t>
      </w:r>
      <w:r>
        <w:rPr>
          <w:strike/>
        </w:rPr>
        <w:t xml:space="preserve">eighteen</w:t>
      </w:r>
      <w:r>
        <w:t>))</w:t>
      </w:r>
      <w:r>
        <w:rPr/>
        <w:t xml:space="preserve"> </w:t>
      </w:r>
      <w:r>
        <w:rPr>
          <w:u w:val="single"/>
        </w:rPr>
        <w:t xml:space="preserve">18</w:t>
      </w:r>
      <w:r>
        <w:rPr/>
        <w:t xml:space="preserve"> months from the date of building permit issuance.</w:t>
      </w:r>
    </w:p>
    <w:p>
      <w:pPr>
        <w:spacing w:before="0" w:after="0" w:line="408" w:lineRule="exact"/>
        <w:ind w:left="0" w:right="0" w:firstLine="576"/>
        <w:jc w:val="left"/>
      </w:pPr>
      <w:r>
        <w:t>((</w:t>
      </w:r>
      <w:r>
        <w:rPr>
          <w:strike/>
        </w:rPr>
        <w:t xml:space="preserve">(c) 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strike/>
        </w:rPr>
        <w:t xml:space="preserve">(i) In a form approved by the county, city, or town;</w:t>
      </w:r>
    </w:p>
    <w:p>
      <w:pPr>
        <w:spacing w:before="0" w:after="0" w:line="408" w:lineRule="exact"/>
        <w:ind w:left="0" w:right="0" w:firstLine="576"/>
        <w:jc w:val="left"/>
      </w:pPr>
      <w:r>
        <w:rPr>
          <w:strike/>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strike/>
        </w:rPr>
        <w:t xml:space="preserve">(iii) Binding on all successors in title after the recordation; and</w:t>
      </w:r>
    </w:p>
    <w:p>
      <w:pPr>
        <w:spacing w:before="0" w:after="0" w:line="408" w:lineRule="exact"/>
        <w:ind w:left="0" w:right="0" w:firstLine="576"/>
        <w:jc w:val="left"/>
      </w:pPr>
      <w:r>
        <w:rPr>
          <w:strike/>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strike/>
        </w:rPr>
        <w:t xml:space="preserve">(d)(i)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rPr>
          <w:strike/>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p>
    <w:p>
      <w:pPr>
        <w:spacing w:before="0" w:after="0" w:line="408" w:lineRule="exact"/>
        <w:ind w:left="0" w:right="0" w:firstLine="576"/>
        <w:jc w:val="left"/>
      </w:pPr>
      <w:r>
        <w:rPr>
          <w:strike/>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strike/>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t>((</w:t>
      </w:r>
      <w:r>
        <w:rPr>
          <w:strike/>
        </w:rPr>
        <w:t xml:space="preserve">(g)(i)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p>
    <w:p>
      <w:pPr>
        <w:spacing w:before="0" w:after="0" w:line="408" w:lineRule="exact"/>
        <w:ind w:left="0" w:right="0" w:firstLine="576"/>
        <w:jc w:val="left"/>
      </w:pPr>
      <w:r>
        <w:rPr>
          <w:strike/>
        </w:rPr>
        <w:t xml:space="preserve">(ii)</w:t>
      </w:r>
      <w:r>
        <w:t>))</w:t>
      </w:r>
      <w:r>
        <w:rPr/>
        <w:t xml:space="preserve"> </w:t>
      </w:r>
      <w:r>
        <w:rPr>
          <w:u w:val="single"/>
        </w:rPr>
        <w:t xml:space="preserve">(h)</w:t>
      </w:r>
      <w:r>
        <w:rPr/>
        <w:t xml:space="preserve"> For purposes of this subsection (3)</w:t>
      </w:r>
      <w:r>
        <w:t>((</w:t>
      </w:r>
      <w:r>
        <w:rPr>
          <w:strike/>
        </w:rPr>
        <w:t xml:space="preserve">(g)</w:t>
      </w:r>
      <w:r>
        <w:t>))</w:t>
      </w:r>
      <w:r>
        <w:rPr/>
        <w:t xml:space="preserve">, an "applicant" includes an entity that controls the applicant, is controlled by the applicant, or is under common control with the applicant.</w:t>
      </w:r>
    </w:p>
    <w:p>
      <w:pPr>
        <w:spacing w:before="0" w:after="0" w:line="408" w:lineRule="exact"/>
        <w:ind w:left="0" w:right="0" w:firstLine="576"/>
        <w:jc w:val="left"/>
      </w:pPr>
      <w:r>
        <w:t>((</w:t>
      </w:r>
      <w:r>
        <w:rPr>
          <w:strike/>
        </w:rPr>
        <w:t xml:space="preserve">(h)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rPr>
          <w:strike/>
        </w:rPr>
        <w:t xml:space="preserve">(i) In accordance with RCW 44.28.812 and 43.31.980, counties, cities, and towns must cooperate with and provide requested data, materials, and assistance to the department of commerce and the joint legislative audit and review committee.</w:t>
      </w:r>
      <w:r>
        <w:t>))</w:t>
      </w:r>
      <w:r>
        <w:rPr/>
        <w:t xml:space="preserve"> </w:t>
      </w:r>
      <w:r>
        <w:rPr>
          <w:u w:val="single"/>
        </w:rPr>
        <w:t xml:space="preserve">(i) This subsection (3) does not apply to impact fees imposed to pay for public facilities under RCW 82.02.090(7)(c).</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0" w:after="0" w:line="408" w:lineRule="exact"/>
        <w:ind w:left="0" w:right="0" w:firstLine="576"/>
        <w:jc w:val="left"/>
      </w:pPr>
      <w:r>
        <w:rPr>
          <w:u w:val="single"/>
        </w:rPr>
        <w:t xml:space="preserve">(6) Impact fees on development activity shall be considered under the impact fees ordinances adopted pursuant to RCW 82.02.060 in effect on the subject location at the time a fully completed project permit application has been submitted to the appropriate city official.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980</w:t>
      </w:r>
      <w:r>
        <w:rPr/>
        <w:t xml:space="preserve"> (Impact fee annual report) and 2015 c 241 s 4 are each repealed.</w:t>
      </w:r>
    </w:p>
    <w:p/>
    <w:p>
      <w:pPr>
        <w:jc w:val="center"/>
      </w:pPr>
      <w:r>
        <w:rPr>
          <w:b/>
        </w:rPr>
        <w:t>--- END ---</w:t>
      </w:r>
    </w:p>
    <w:sectPr>
      <w:pgNumType w:start="1"/>
      <w:footerReference xmlns:r="http://schemas.openxmlformats.org/officeDocument/2006/relationships" r:id="R3fa589bbd91f47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d879e029284c94" /><Relationship Type="http://schemas.openxmlformats.org/officeDocument/2006/relationships/footer" Target="/word/footer1.xml" Id="R3fa589bbd91f47a0" /></Relationships>
</file>