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ba76da0f024104" /></Relationships>
</file>

<file path=word/document.xml><?xml version="1.0" encoding="utf-8"?>
<w:document xmlns:w="http://schemas.openxmlformats.org/wordprocessingml/2006/main">
  <w:body>
    <w:p>
      <w:r>
        <w:t>S-1674.1</w:t>
      </w:r>
    </w:p>
    <w:p>
      <w:pPr>
        <w:jc w:val="center"/>
      </w:pPr>
      <w:r>
        <w:t>_______________________________________________</w:t>
      </w:r>
    </w:p>
    <w:p/>
    <w:p>
      <w:pPr>
        <w:jc w:val="center"/>
      </w:pPr>
      <w:r>
        <w:rPr>
          <w:b/>
        </w:rPr>
        <w:t>SUBSTITUTE SENATE BILL 5613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Housing (originally sponsored by Senators Salomon, Trudeau, Liias, and Nobles)</w:t>
      </w:r>
    </w:p>
    <w:p/>
    <w:p>
      <w:r>
        <w:rPr>
          <w:t xml:space="preserve">READ FIRST TIME 02/20/25.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development of clear and objective standards, conditions, and procedures for residential development; amending RCW 36.70A.030 and 36.70A.190; reenacting and amending RCW 36.70A.280; adding a new section to chapter 36.70A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form a stakeholder work group to analyze development regulations that create barriers to housing types, and suggest model codes that contain clear and objective standards.</w:t>
      </w:r>
    </w:p>
    <w:p>
      <w:pPr>
        <w:spacing w:before="0" w:after="0" w:line="408" w:lineRule="exact"/>
        <w:ind w:left="0" w:right="0" w:firstLine="576"/>
        <w:jc w:val="left"/>
      </w:pPr>
      <w:r>
        <w:rPr/>
        <w:t xml:space="preserve">(2) The work group shall consist of members representing:</w:t>
      </w:r>
    </w:p>
    <w:p>
      <w:pPr>
        <w:spacing w:before="0" w:after="0" w:line="408" w:lineRule="exact"/>
        <w:ind w:left="0" w:right="0" w:firstLine="576"/>
        <w:jc w:val="left"/>
      </w:pPr>
      <w:r>
        <w:rPr/>
        <w:t xml:space="preserve">(a) Cities;</w:t>
      </w:r>
    </w:p>
    <w:p>
      <w:pPr>
        <w:spacing w:before="0" w:after="0" w:line="408" w:lineRule="exact"/>
        <w:ind w:left="0" w:right="0" w:firstLine="576"/>
        <w:jc w:val="left"/>
      </w:pPr>
      <w:r>
        <w:rPr/>
        <w:t xml:space="preserve">(b) Counties;</w:t>
      </w:r>
    </w:p>
    <w:p>
      <w:pPr>
        <w:spacing w:before="0" w:after="0" w:line="408" w:lineRule="exact"/>
        <w:ind w:left="0" w:right="0" w:firstLine="576"/>
        <w:jc w:val="left"/>
      </w:pPr>
      <w:r>
        <w:rPr/>
        <w:t xml:space="preserve">(c) The building industry;</w:t>
      </w:r>
    </w:p>
    <w:p>
      <w:pPr>
        <w:spacing w:before="0" w:after="0" w:line="408" w:lineRule="exact"/>
        <w:ind w:left="0" w:right="0" w:firstLine="576"/>
        <w:jc w:val="left"/>
      </w:pPr>
      <w:r>
        <w:rPr/>
        <w:t xml:space="preserve">(d) The construction trades;</w:t>
      </w:r>
    </w:p>
    <w:p>
      <w:pPr>
        <w:spacing w:before="0" w:after="0" w:line="408" w:lineRule="exact"/>
        <w:ind w:left="0" w:right="0" w:firstLine="576"/>
        <w:jc w:val="left"/>
      </w:pPr>
      <w:r>
        <w:rPr/>
        <w:t xml:space="preserve">(e) The planning profession;</w:t>
      </w:r>
    </w:p>
    <w:p>
      <w:pPr>
        <w:spacing w:before="0" w:after="0" w:line="408" w:lineRule="exact"/>
        <w:ind w:left="0" w:right="0" w:firstLine="576"/>
        <w:jc w:val="left"/>
      </w:pPr>
      <w:r>
        <w:rPr/>
        <w:t xml:space="preserve">(f) The architecture profession; and</w:t>
      </w:r>
    </w:p>
    <w:p>
      <w:pPr>
        <w:spacing w:before="0" w:after="0" w:line="408" w:lineRule="exact"/>
        <w:ind w:left="0" w:right="0" w:firstLine="576"/>
        <w:jc w:val="left"/>
      </w:pPr>
      <w:r>
        <w:rPr/>
        <w:t xml:space="preserve">(g) Organizations advocating for sustainable land use.</w:t>
      </w:r>
    </w:p>
    <w:p>
      <w:pPr>
        <w:spacing w:before="0" w:after="0" w:line="408" w:lineRule="exact"/>
        <w:ind w:left="0" w:right="0" w:firstLine="576"/>
        <w:jc w:val="left"/>
      </w:pPr>
      <w:r>
        <w:rPr/>
        <w:t xml:space="preserve">(3) The work group shall help guide implementation of the clear and objective standards and a model code for residential development required in RCW 36.70A.190.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a city or county may adopt and apply only clear and objective design and development standards regulating residential development. The standards:</w:t>
      </w:r>
    </w:p>
    <w:p>
      <w:pPr>
        <w:spacing w:before="0" w:after="0" w:line="408" w:lineRule="exact"/>
        <w:ind w:left="0" w:right="0" w:firstLine="576"/>
        <w:jc w:val="left"/>
      </w:pPr>
      <w:r>
        <w:rPr/>
        <w:t xml:space="preserve">(a) May include, but are not limited to, one or more provisions regulating the density, height, bulk, or scale of a development; and</w:t>
      </w:r>
    </w:p>
    <w:p>
      <w:pPr>
        <w:spacing w:before="0" w:after="0" w:line="408" w:lineRule="exact"/>
        <w:ind w:left="0" w:right="0" w:firstLine="576"/>
        <w:jc w:val="left"/>
      </w:pPr>
      <w:r>
        <w:rPr/>
        <w:t xml:space="preserve">(b) May not have the effect, either in themselves or cumulatively, of discouraging development through unreasonable cost or delay.</w:t>
      </w:r>
    </w:p>
    <w:p>
      <w:pPr>
        <w:spacing w:before="0" w:after="0" w:line="408" w:lineRule="exact"/>
        <w:ind w:left="0" w:right="0" w:firstLine="576"/>
        <w:jc w:val="left"/>
      </w:pPr>
      <w:r>
        <w:rPr/>
        <w:t xml:space="preserve">(2) In addition to an approval process for residential development based on clear and objective design and development standards as provided in subsection (1) of this section, a city or county may adopt and apply an alternative approval process for applications and permits for residential development based on approval criteria regulating, in whole or in part, appearance or aesthetics that are not clear and objective if:</w:t>
      </w:r>
    </w:p>
    <w:p>
      <w:pPr>
        <w:spacing w:before="0" w:after="0" w:line="408" w:lineRule="exact"/>
        <w:ind w:left="0" w:right="0" w:firstLine="576"/>
        <w:jc w:val="left"/>
      </w:pPr>
      <w:r>
        <w:rPr/>
        <w:t xml:space="preserve">(a) The applicant retains the option of proceeding under the approval process that meets the requirements of subsection (1) of this section;</w:t>
      </w:r>
    </w:p>
    <w:p>
      <w:pPr>
        <w:spacing w:before="0" w:after="0" w:line="408" w:lineRule="exact"/>
        <w:ind w:left="0" w:right="0" w:firstLine="576"/>
        <w:jc w:val="left"/>
      </w:pPr>
      <w:r>
        <w:rPr/>
        <w:t xml:space="preserve">(b) The approval criteria for the alternative approval process comply with this chapter; and</w:t>
      </w:r>
    </w:p>
    <w:p>
      <w:pPr>
        <w:spacing w:before="0" w:after="0" w:line="408" w:lineRule="exact"/>
        <w:ind w:left="0" w:right="0" w:firstLine="576"/>
        <w:jc w:val="left"/>
      </w:pPr>
      <w:r>
        <w:rPr/>
        <w:t xml:space="preserve">(c) The approval criteria for the alternative approval process does not authorize a density of less than the density authorized in the comprehensive plan and that would be authorized under the approval process provided in subsection (1) of this section.</w:t>
      </w:r>
    </w:p>
    <w:p>
      <w:pPr>
        <w:spacing w:before="0" w:after="0" w:line="408" w:lineRule="exact"/>
        <w:ind w:left="0" w:right="0" w:firstLine="576"/>
        <w:jc w:val="left"/>
      </w:pPr>
      <w:r>
        <w:rPr/>
        <w:t xml:space="preserve">(3) Subject to subsection (1) of this section, this section does not infringe on the prerogative of a city or county to:</w:t>
      </w:r>
    </w:p>
    <w:p>
      <w:pPr>
        <w:spacing w:before="0" w:after="0" w:line="408" w:lineRule="exact"/>
        <w:ind w:left="0" w:right="0" w:firstLine="576"/>
        <w:jc w:val="left"/>
      </w:pPr>
      <w:r>
        <w:rPr/>
        <w:t xml:space="preserve">(a) Set approval standards under which a particular housing type is permitted outright;</w:t>
      </w:r>
    </w:p>
    <w:p>
      <w:pPr>
        <w:spacing w:before="0" w:after="0" w:line="408" w:lineRule="exact"/>
        <w:ind w:left="0" w:right="0" w:firstLine="576"/>
        <w:jc w:val="left"/>
      </w:pPr>
      <w:r>
        <w:rPr/>
        <w:t xml:space="preserve">(b) Impose special conditions upon approval of a specific development proposal; or</w:t>
      </w:r>
    </w:p>
    <w:p>
      <w:pPr>
        <w:spacing w:before="0" w:after="0" w:line="408" w:lineRule="exact"/>
        <w:ind w:left="0" w:right="0" w:firstLine="576"/>
        <w:jc w:val="left"/>
      </w:pPr>
      <w:r>
        <w:rPr/>
        <w:t xml:space="preserve">(c) Establish approval procedures.</w:t>
      </w:r>
    </w:p>
    <w:p>
      <w:pPr>
        <w:spacing w:before="0" w:after="0" w:line="408" w:lineRule="exact"/>
        <w:ind w:left="0" w:right="0" w:firstLine="576"/>
        <w:jc w:val="left"/>
      </w:pPr>
      <w:r>
        <w:rPr/>
        <w:t xml:space="preserve">(4) By January 1, 2028, all development regulations in effect in a city or county must comply with the requirements of this section.</w:t>
      </w:r>
    </w:p>
    <w:p>
      <w:pPr>
        <w:spacing w:before="0" w:after="0" w:line="408" w:lineRule="exact"/>
        <w:ind w:left="0" w:right="0" w:firstLine="576"/>
        <w:jc w:val="left"/>
      </w:pPr>
      <w:r>
        <w:rPr/>
        <w:t xml:space="preserve">(5) The provisions of this section do not apply to standards regulating residential development outside of urban growth areas designated under RCW 36.70A.110.</w:t>
      </w:r>
    </w:p>
    <w:p>
      <w:pPr>
        <w:spacing w:before="0" w:after="0" w:line="408" w:lineRule="exact"/>
        <w:ind w:left="0" w:right="0" w:firstLine="576"/>
        <w:jc w:val="left"/>
      </w:pPr>
      <w:r>
        <w:rPr/>
        <w:t xml:space="preserve">(6) A city or county has met the requirements of this section if:</w:t>
      </w:r>
    </w:p>
    <w:p>
      <w:pPr>
        <w:spacing w:before="0" w:after="0" w:line="408" w:lineRule="exact"/>
        <w:ind w:left="0" w:right="0" w:firstLine="576"/>
        <w:jc w:val="left"/>
      </w:pPr>
      <w:r>
        <w:rPr/>
        <w:t xml:space="preserve">(a) The city or county adopts standards in compliance with this section; or</w:t>
      </w:r>
    </w:p>
    <w:p>
      <w:pPr>
        <w:spacing w:before="0" w:after="0" w:line="408" w:lineRule="exact"/>
        <w:ind w:left="0" w:right="0" w:firstLine="576"/>
        <w:jc w:val="left"/>
      </w:pPr>
      <w:r>
        <w:rPr/>
        <w:t xml:space="preserve">(b)(i) The city or county adopts the model code produced by the department under section 4 of this act;</w:t>
      </w:r>
    </w:p>
    <w:p>
      <w:pPr>
        <w:spacing w:before="0" w:after="0" w:line="408" w:lineRule="exact"/>
        <w:ind w:left="0" w:right="0" w:firstLine="576"/>
        <w:jc w:val="left"/>
      </w:pPr>
      <w:r>
        <w:rPr/>
        <w:t xml:space="preserve">(ii) The city or county submits any standards adopted under this subsection to the department for approval; and</w:t>
      </w:r>
    </w:p>
    <w:p>
      <w:pPr>
        <w:spacing w:before="0" w:after="0" w:line="408" w:lineRule="exact"/>
        <w:ind w:left="0" w:right="0" w:firstLine="576"/>
        <w:jc w:val="left"/>
      </w:pPr>
      <w:r>
        <w:rPr/>
        <w:t xml:space="preserve">(iii) The department determines that the adopted provisions meet the requirements of the model code developed under section 4 of this act. If the department determines that the adopted provisions do not meet the requirements of the model code developed under section 4 of this act, the department shall notify the city or county of the deficiencies identified and proposed amendments to correct any deficiencies. Upon amendment of any provisions deemed to not meet the requirements of the model code, the city or county may resubmit the amended provisions to the department for approval.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2024 c 152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t xml:space="preserve">(2)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t xml:space="preserve">(3) "Administrative design review" means a development permit process whereby an application is reviewed, approved, or denied by the planning director or the planning director's designee based solely on </w:t>
      </w:r>
      <w:r>
        <w:rPr>
          <w:u w:val="single"/>
        </w:rPr>
        <w:t xml:space="preserve">clear and</w:t>
      </w:r>
      <w:r>
        <w:rPr/>
        <w:t xml:space="preserve"> objective design and development standards without a public predecision hearing, unless such review is otherwise required by state or federal law, or the structure is a designated landmark or historic district established under a local preservation ordinance. A city may utilize public meetings, hearings, or voluntary review boards to consider, recommend, or approve requests for variances from locally established design review standards.</w:t>
      </w:r>
    </w:p>
    <w:p>
      <w:pPr>
        <w:spacing w:before="0" w:after="0" w:line="408" w:lineRule="exact"/>
        <w:ind w:left="0" w:right="0" w:firstLine="576"/>
        <w:jc w:val="left"/>
      </w:pPr>
      <w:r>
        <w:rPr/>
        <w:t xml:space="preserve">(4)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(5)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60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80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(6)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(7) "City" means any city or town, including a code city.</w:t>
      </w:r>
    </w:p>
    <w:p>
      <w:pPr>
        <w:spacing w:before="0" w:after="0" w:line="408" w:lineRule="exact"/>
        <w:ind w:left="0" w:right="0" w:firstLine="576"/>
        <w:jc w:val="left"/>
      </w:pPr>
      <w:r>
        <w:rPr/>
        <w:t xml:space="preserve">(8)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(9) "Cottage housing" means residential units on a lot with a common open space that either: (a) Is owned in common; or (b) has units owned as condominium units with property owned in common and a minimum of 20 percent of the lot size as open space.</w:t>
      </w:r>
    </w:p>
    <w:p>
      <w:pPr>
        <w:spacing w:before="0" w:after="0" w:line="408" w:lineRule="exact"/>
        <w:ind w:left="0" w:right="0" w:firstLine="576"/>
        <w:jc w:val="left"/>
      </w:pPr>
      <w:r>
        <w:rPr/>
        <w:t xml:space="preserve">(10) "Courtyard apartments" means attached dwelling units arranged on two or three sides of a yard or court.</w:t>
      </w:r>
    </w:p>
    <w:p>
      <w:pPr>
        <w:spacing w:before="0" w:after="0" w:line="408" w:lineRule="exact"/>
        <w:ind w:left="0" w:right="0" w:firstLine="576"/>
        <w:jc w:val="left"/>
      </w:pPr>
      <w:r>
        <w:rPr/>
        <w:t xml:space="preserve">(11)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w:t>
      </w:r>
      <w:r>
        <w:rPr>
          <w:u w:val="single"/>
        </w:rPr>
        <w:t xml:space="preserve">Development regulations adopted pursuant to this chapter must be clear and objective design and development standards as defined in this section. In determining whether a development regulation is clear and objective the regulation must be interpreted in a manner that does not inhibit or prohibit either development of middle housing or accessory dwelling or achievement of minimum density requirements under this chapter.</w:t>
      </w:r>
      <w:r>
        <w:rPr/>
        <w:t xml:space="preserve">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(14)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(15)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(16) "Environmental justice" means the fair treatment and meaningful involvement of all people regardless of race, color, national origin, or income with respect to development, implementation, and enforcement of environmental laws, regulations, and policies. Environmental justice includes addressing disproportionate environmental and health impacts in all laws, rules, and policies with environmental impacts by prioritizing vulnerable populations and overburdened communities and the equitable distribution of resources and benefits.</w:t>
      </w:r>
    </w:p>
    <w:p>
      <w:pPr>
        <w:spacing w:before="0" w:after="0" w:line="408" w:lineRule="exact"/>
        <w:ind w:left="0" w:right="0" w:firstLine="576"/>
        <w:jc w:val="left"/>
      </w:pPr>
      <w:r>
        <w:rPr/>
        <w:t xml:space="preserve">(17)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(18)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(19)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(20)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(21) "Green infrastructure" means a wide array of natural assets and built structures within an urban growth area boundary, including parks and other areas with protected tree canopy, and management practices at multiple scales that manage wet weather and that maintain and restore natural hydrology by storing, infiltrating, evapotranspiring, and harvesting and using stormwater.</w:t>
      </w:r>
    </w:p>
    <w:p>
      <w:pPr>
        <w:spacing w:before="0" w:after="0" w:line="408" w:lineRule="exact"/>
        <w:ind w:left="0" w:right="0" w:firstLine="576"/>
        <w:jc w:val="left"/>
      </w:pPr>
      <w:r>
        <w:rPr/>
        <w:t xml:space="preserve">(22) "Green 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t xml:space="preserve">(a) Is accessible to the public;</w:t>
      </w:r>
    </w:p>
    <w:p>
      <w:pPr>
        <w:spacing w:before="0" w:after="0" w:line="408" w:lineRule="exact"/>
        <w:ind w:left="0" w:right="0" w:firstLine="576"/>
        <w:jc w:val="left"/>
      </w:pPr>
      <w:r>
        <w:rPr/>
        <w:t xml:space="preserve">(b) Promotes physical and mental health of residents;</w:t>
      </w:r>
    </w:p>
    <w:p>
      <w:pPr>
        <w:spacing w:before="0" w:after="0" w:line="408" w:lineRule="exact"/>
        <w:ind w:left="0" w:right="0" w:firstLine="576"/>
        <w:jc w:val="left"/>
      </w:pPr>
      <w:r>
        <w:rPr/>
        <w:t xml:space="preserve">(c) Provides relief from the urban heat island effects;</w:t>
      </w:r>
    </w:p>
    <w:p>
      <w:pPr>
        <w:spacing w:before="0" w:after="0" w:line="408" w:lineRule="exact"/>
        <w:ind w:left="0" w:right="0" w:firstLine="576"/>
        <w:jc w:val="left"/>
      </w:pPr>
      <w:r>
        <w:rPr/>
        <w:t xml:space="preserve">(d) Promotes recreational and aesthetic values;</w:t>
      </w:r>
    </w:p>
    <w:p>
      <w:pPr>
        <w:spacing w:before="0" w:after="0" w:line="408" w:lineRule="exact"/>
        <w:ind w:left="0" w:right="0" w:firstLine="576"/>
        <w:jc w:val="left"/>
      </w:pPr>
      <w:r>
        <w:rPr/>
        <w:t xml:space="preserve">(e) Protects streams or water supply; or</w:t>
      </w:r>
    </w:p>
    <w:p>
      <w:pPr>
        <w:spacing w:before="0" w:after="0" w:line="408" w:lineRule="exact"/>
        <w:ind w:left="0" w:right="0" w:firstLine="576"/>
        <w:jc w:val="left"/>
      </w:pPr>
      <w:r>
        <w:rPr/>
        <w:t xml:space="preserve">(f) Preserves visual quality along highway, road, or street corridors.</w:t>
      </w:r>
    </w:p>
    <w:p>
      <w:pPr>
        <w:spacing w:before="0" w:after="0" w:line="408" w:lineRule="exact"/>
        <w:ind w:left="0" w:right="0" w:firstLine="576"/>
        <w:jc w:val="left"/>
      </w:pPr>
      <w:r>
        <w:rPr/>
        <w:t xml:space="preserve">(23)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(24)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(25)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or</w:t>
      </w:r>
    </w:p>
    <w:p>
      <w:pPr>
        <w:spacing w:before="0" w:after="0" w:line="408" w:lineRule="exact"/>
        <w:ind w:left="0" w:right="0" w:firstLine="576"/>
        <w:jc w:val="left"/>
      </w:pPr>
      <w:r>
        <w:rPr/>
        <w:t xml:space="preserve">(d) Stops on bus rapid transit routes, including those stops that are under construction.</w:t>
      </w:r>
    </w:p>
    <w:p>
      <w:pPr>
        <w:spacing w:before="0" w:after="0" w:line="408" w:lineRule="exact"/>
        <w:ind w:left="0" w:right="0" w:firstLine="576"/>
        <w:jc w:val="left"/>
      </w:pPr>
      <w:r>
        <w:rPr/>
        <w:t xml:space="preserve">(26) "Middle housing" means buildings that are compatible in scale, form, and character with single-family houses and contain two or more attached, stacked, or clustered homes including duplexes, triplexes, fourplexes, fiveplexes, sixplexes, townhouses, stacked flats, courtyard apartments, and cottage housing.</w:t>
      </w:r>
    </w:p>
    <w:p>
      <w:pPr>
        <w:spacing w:before="0" w:after="0" w:line="408" w:lineRule="exact"/>
        <w:ind w:left="0" w:right="0" w:firstLine="576"/>
        <w:jc w:val="left"/>
      </w:pPr>
      <w:r>
        <w:rPr/>
        <w:t xml:space="preserve">(27) "Minerals" include gravel, sand, and valuable metallic substances.</w:t>
      </w:r>
    </w:p>
    <w:p>
      <w:pPr>
        <w:spacing w:before="0" w:after="0" w:line="408" w:lineRule="exact"/>
        <w:ind w:left="0" w:right="0" w:firstLine="576"/>
        <w:jc w:val="left"/>
      </w:pPr>
      <w:r>
        <w:rPr/>
        <w:t xml:space="preserve">(28)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(29) "Overburdened community" means a geographic area where vulnerable populations face combined, multiple environmental harms and health impacts, and includes, but is not limited to, highly impacted communities as defined in RCW 19.405.020.</w:t>
      </w:r>
    </w:p>
    <w:p>
      <w:pPr>
        <w:spacing w:before="0" w:after="0" w:line="408" w:lineRule="exact"/>
        <w:ind w:left="0" w:right="0" w:firstLine="576"/>
        <w:jc w:val="left"/>
      </w:pPr>
      <w:r>
        <w:rPr/>
        <w:t xml:space="preserve">(30) "Per capita vehicle miles traveled" means the number of miles traveled using cars and light trucks in a calendar year divided by the number of residents in Washington. The calculation of this value excludes vehicle miles driven conveying freight.</w:t>
      </w:r>
    </w:p>
    <w:p>
      <w:pPr>
        <w:spacing w:before="0" w:after="0" w:line="408" w:lineRule="exact"/>
        <w:ind w:left="0" w:right="0" w:firstLine="576"/>
        <w:jc w:val="left"/>
      </w:pPr>
      <w:r>
        <w:rPr/>
        <w:t xml:space="preserve">(31)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(32)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(33)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(34)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(35)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(36)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(37) "Rural governmental services" or "rural services" include those public services and public facilities historically and typically delivered at an intensity usually found in rural areas, and may include domestic water systems and fire and police protection services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(38) "Short line railroad" means those railroad lines designated class II or class III by the United States surface transportation board.</w:t>
      </w:r>
    </w:p>
    <w:p>
      <w:pPr>
        <w:spacing w:before="0" w:after="0" w:line="408" w:lineRule="exact"/>
        <w:ind w:left="0" w:right="0" w:firstLine="576"/>
        <w:jc w:val="left"/>
      </w:pPr>
      <w:r>
        <w:rPr/>
        <w:t xml:space="preserve">(39) "Single-family zones" means those zones where single-family detached housing is the predominant land use.</w:t>
      </w:r>
    </w:p>
    <w:p>
      <w:pPr>
        <w:spacing w:before="0" w:after="0" w:line="408" w:lineRule="exact"/>
        <w:ind w:left="0" w:right="0" w:firstLine="576"/>
        <w:jc w:val="left"/>
      </w:pPr>
      <w:r>
        <w:rPr/>
        <w:t xml:space="preserve">(40) "Stacked flat" means dwelling units in a residential building of no more than three stories on a residential zoned lot in which each floor may be separately rented or owned.</w:t>
      </w:r>
    </w:p>
    <w:p>
      <w:pPr>
        <w:spacing w:before="0" w:after="0" w:line="408" w:lineRule="exact"/>
        <w:ind w:left="0" w:right="0" w:firstLine="576"/>
        <w:jc w:val="left"/>
      </w:pPr>
      <w:r>
        <w:rPr/>
        <w:t xml:space="preserve">(41) "Townhouses" means buildings that contain three or more attached single-family dwelling units that extend from foundation to roof and that have a yard or public way on not less than two sides.</w:t>
      </w:r>
    </w:p>
    <w:p>
      <w:pPr>
        <w:spacing w:before="0" w:after="0" w:line="408" w:lineRule="exact"/>
        <w:ind w:left="0" w:right="0" w:firstLine="576"/>
        <w:jc w:val="left"/>
      </w:pPr>
      <w:r>
        <w:rPr/>
        <w:t xml:space="preserve">(42)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t xml:space="preserve">(43)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(44)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(45) "Urban growth areas" means those areas designated by a county pursuant to RCW 36.70A.110.</w:t>
      </w:r>
    </w:p>
    <w:p>
      <w:pPr>
        <w:spacing w:before="0" w:after="0" w:line="408" w:lineRule="exact"/>
        <w:ind w:left="0" w:right="0" w:firstLine="576"/>
        <w:jc w:val="left"/>
      </w:pPr>
      <w:r>
        <w:rPr/>
        <w:t xml:space="preserve">(46)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(47)(a) "Vulnerable populations" means population groups that are more likely to be at higher risk for poor health outcomes in response to environmental harms, due to: (i) Adverse socioeconomic factors, such as unemployment, high housing and transportation costs relative to income, limited access to nutritious food and adequate health care, linguistic isolation, and other factors that negatively affect health outcomes and increase vulnerability to the effects of environmental harms; and (ii) sensitivity factors, such as low birth weight and higher rates of hospitalization.</w:t>
      </w:r>
    </w:p>
    <w:p>
      <w:pPr>
        <w:spacing w:before="0" w:after="0" w:line="408" w:lineRule="exact"/>
        <w:ind w:left="0" w:right="0" w:firstLine="576"/>
        <w:jc w:val="left"/>
      </w:pPr>
      <w:r>
        <w:rPr/>
        <w:t xml:space="preserve">(b) "Vulnerable populations" includes, but is not limited to:</w:t>
      </w:r>
    </w:p>
    <w:p>
      <w:pPr>
        <w:spacing w:before="0" w:after="0" w:line="408" w:lineRule="exact"/>
        <w:ind w:left="0" w:right="0" w:firstLine="576"/>
        <w:jc w:val="left"/>
      </w:pPr>
      <w:r>
        <w:rPr/>
        <w:t xml:space="preserve">(i) Racial or ethnic minorities;</w:t>
      </w:r>
    </w:p>
    <w:p>
      <w:pPr>
        <w:spacing w:before="0" w:after="0" w:line="408" w:lineRule="exact"/>
        <w:ind w:left="0" w:right="0" w:firstLine="576"/>
        <w:jc w:val="left"/>
      </w:pPr>
      <w:r>
        <w:rPr/>
        <w:t xml:space="preserve">(ii) Low-income populations; and</w:t>
      </w:r>
    </w:p>
    <w:p>
      <w:pPr>
        <w:spacing w:before="0" w:after="0" w:line="408" w:lineRule="exact"/>
        <w:ind w:left="0" w:right="0" w:firstLine="576"/>
        <w:jc w:val="left"/>
      </w:pPr>
      <w:r>
        <w:rPr/>
        <w:t xml:space="preserve">(iii) Populations disproportionately impacted by environmental harms.</w:t>
      </w:r>
    </w:p>
    <w:p>
      <w:pPr>
        <w:spacing w:before="0" w:after="0" w:line="408" w:lineRule="exact"/>
        <w:ind w:left="0" w:right="0" w:firstLine="576"/>
        <w:jc w:val="left"/>
      </w:pPr>
      <w:r>
        <w:rPr/>
        <w:t xml:space="preserve">(48)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t xml:space="preserve">(49) "Wildland urban interface" means the geographical area where structures and other human development meets or intermingles with wildland vegetative fuels.</w:t>
      </w:r>
    </w:p>
    <w:p>
      <w:pPr>
        <w:spacing w:before="0" w:after="0" w:line="408" w:lineRule="exact"/>
        <w:ind w:left="0" w:right="0" w:firstLine="576"/>
        <w:jc w:val="left"/>
      </w:pPr>
      <w:r>
        <w:rPr>
          <w:u w:val="single"/>
        </w:rPr>
        <w:t xml:space="preserve">(50) "Clear and objective design and development standards" means locally adopted development regulations that involve no personal or subjective judgment by a public official, and are ascertainable by reference to measurable written or graphic criteria available and knowable to both the permit applicant and public officials prior to submittal.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2023 c 228 s 9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the presence of overburdened communities, and other relevant factors. The department shall establish funding levels for grants to community-based organizations for the specific purpose of advancing participation of vulnerable populations and overburdened communities in the planning process.</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services to facilitate the timely resolution of disputes between a federally recognized Indian tribe and a city or county.</w:t>
      </w:r>
    </w:p>
    <w:p>
      <w:pPr>
        <w:spacing w:before="0" w:after="0" w:line="408" w:lineRule="exact"/>
        <w:ind w:left="0" w:right="0" w:firstLine="576"/>
        <w:jc w:val="left"/>
      </w:pPr>
      <w:r>
        <w:rPr/>
        <w:t xml:space="preserve">(a) A federally recognized Indian tribe may request the department to provide facilitation services to resolve issues of concern with a proposed comprehensive plan and its development regulations, or any amendment to the comprehensive plan and its development regulations.</w:t>
      </w:r>
    </w:p>
    <w:p>
      <w:pPr>
        <w:spacing w:before="0" w:after="0" w:line="408" w:lineRule="exact"/>
        <w:ind w:left="0" w:right="0" w:firstLine="576"/>
        <w:jc w:val="left"/>
      </w:pPr>
      <w:r>
        <w:rPr/>
        <w:t xml:space="preserve">(b) Upon receipt of a request from a tribe, the department shall notify the city or county of the request and offer to assist in providing facilitation services to encourage resolution before adoption of the proposed comprehensive plan. Upon receipt of the notice from the department, the city or county must delay any final action to adopt any comprehensive plan or any amendment or its development regulations for at least 60 days. The tribe and the city or county may jointly agree to extend this period by notifying the department. A county or city must not be penalized for noncompliance under this chapter due to any delays associated with this process.</w:t>
      </w:r>
    </w:p>
    <w:p>
      <w:pPr>
        <w:spacing w:before="0" w:after="0" w:line="408" w:lineRule="exact"/>
        <w:ind w:left="0" w:right="0" w:firstLine="576"/>
        <w:jc w:val="left"/>
      </w:pPr>
      <w:r>
        <w:rPr/>
        <w:t xml:space="preserve">(c) Upon receipt of a request, the department shall provide comments to the county or city including a summary and supporting materials regarding the tribe's concerns. The county or city may either agree to amend the comprehensive plan as requested consistent with the comments from the department, or enter into a facilitated process with the tribe, which must be arranged by the department using a suitable expert to be paid by the department. This facilitated process may also extend the 60-day delay of adoption, upon agreement of the tribe and the city or county.</w:t>
      </w:r>
    </w:p>
    <w:p>
      <w:pPr>
        <w:spacing w:before="0" w:after="0" w:line="408" w:lineRule="exact"/>
        <w:ind w:left="0" w:right="0" w:firstLine="576"/>
        <w:jc w:val="left"/>
      </w:pPr>
      <w:r>
        <w:rPr/>
        <w:t xml:space="preserve">(d) At the end of the 60-day period, unless by agreement there is an extension of the 60-day period, the city or county may proceed with adoption of the proposed comprehensive plan and development regulations. The facilitator shall write a report of findings describing the basis for agreements or disagreements that occurred during the process that are allowed to be disclosed by the parties and the resulting agreed-upon elements of the plan to be amended.</w:t>
      </w:r>
    </w:p>
    <w:p>
      <w:pPr>
        <w:spacing w:before="0" w:after="0" w:line="408" w:lineRule="exact"/>
        <w:ind w:left="0" w:right="0" w:firstLine="576"/>
        <w:jc w:val="left"/>
      </w:pPr>
      <w:r>
        <w:rPr/>
        <w:t xml:space="preserve">(7) The department shall provide planning grants to enhance citizen participation under RCW 36.70A.140.</w:t>
      </w:r>
    </w:p>
    <w:p>
      <w:pPr>
        <w:spacing w:before="0" w:after="0" w:line="408" w:lineRule="exact"/>
        <w:ind w:left="0" w:right="0" w:firstLine="576"/>
        <w:jc w:val="left"/>
      </w:pPr>
      <w:r>
        <w:rPr/>
        <w:t xml:space="preserve">(8) The department shall develop, in collaboration with the department of ecology, the department of fish and wildlife, the department of natural resources, the department of health, the emergency management division of the military department, as well as any federally recognized tribe who chooses to voluntarily participate, and adopt by rule guidance that creates a model climate change and resiliency element that may be used by counties, cities, and multiple-county planning regions for developing and implementing climate change and resiliency plans and policies required by RCW 36.70A.070(9), subject to the following provisions:</w:t>
      </w:r>
    </w:p>
    <w:p>
      <w:pPr>
        <w:spacing w:before="0" w:after="0" w:line="408" w:lineRule="exact"/>
        <w:ind w:left="0" w:right="0" w:firstLine="576"/>
        <w:jc w:val="left"/>
      </w:pPr>
      <w:r>
        <w:rPr/>
        <w:t xml:space="preserve">(a) The model element must establish minimum requirements, and may include model options or voluntary cross-jurisdictional strategies, or both, for fulfilling the requirements of RCW 36.70A.070(9);</w:t>
      </w:r>
    </w:p>
    <w:p>
      <w:pPr>
        <w:spacing w:before="0" w:after="0" w:line="408" w:lineRule="exact"/>
        <w:ind w:left="0" w:right="0" w:firstLine="576"/>
        <w:jc w:val="left"/>
      </w:pPr>
      <w:r>
        <w:rPr/>
        <w:t xml:space="preserve">(b) The model element should provide guidance on identifying, designing, and investing in infrastructure that supports community resilience to climate impacts, including the protection, restoration, and enhancement of natural infrastructure as well as traditional infrastructure and protecting and enhancing natural areas to foster resiliency to climate impacts, as well as areas of vital habitat for safe passage and species migration;</w:t>
      </w:r>
    </w:p>
    <w:p>
      <w:pPr>
        <w:spacing w:before="0" w:after="0" w:line="408" w:lineRule="exact"/>
        <w:ind w:left="0" w:right="0" w:firstLine="576"/>
        <w:jc w:val="left"/>
      </w:pPr>
      <w:r>
        <w:rPr/>
        <w:t xml:space="preserve">(c) The model element should provide guidance on identifying and addressing natural hazards created or aggravated by climate change, including sea level rise, landslides, flooding, drought, heat, smoke, wildfires, and other effects of reasonably anticipated changes to temperature and precipitation patterns; and</w:t>
      </w:r>
    </w:p>
    <w:p>
      <w:pPr>
        <w:spacing w:before="0" w:after="0" w:line="408" w:lineRule="exact"/>
        <w:ind w:left="0" w:right="0" w:firstLine="576"/>
        <w:jc w:val="left"/>
      </w:pPr>
      <w:r>
        <w:rPr/>
        <w:t xml:space="preserve">(d) The rule must recognize and promote as many cobenefits of climate resilience as possible such as climate change mitigation, salmon recovery, forest health, ecosystem services, and socioeconomic health and resilience.</w:t>
      </w:r>
    </w:p>
    <w:p>
      <w:pPr>
        <w:spacing w:before="0" w:after="0" w:line="408" w:lineRule="exact"/>
        <w:ind w:left="0" w:right="0" w:firstLine="576"/>
        <w:jc w:val="left"/>
      </w:pPr>
      <w:r>
        <w:rPr>
          <w:u w:val="single"/>
        </w:rPr>
        <w:t xml:space="preserve">(9)(a) The department must develop and publish a model code that meets the requirements of section 2 of this act. The clear and objective standards in the model code should focus on development regulations and processes, give applicants predictability, and encourage uniformity across jurisdictions. The model code developed under this subsection is not required to include critical areas regulations.</w:t>
      </w:r>
    </w:p>
    <w:p>
      <w:pPr>
        <w:spacing w:before="0" w:after="0" w:line="408" w:lineRule="exact"/>
        <w:ind w:left="0" w:right="0" w:firstLine="576"/>
        <w:jc w:val="left"/>
      </w:pPr>
      <w:r>
        <w:rPr>
          <w:u w:val="single"/>
        </w:rPr>
        <w:t xml:space="preserve">(b) Within 90 days of the publication of the model code, a city or county planning under this chapter may bring a petition under RCW 36.70A.280 alleging that the model code adopted under this subsection does not comply with section 2 of this act or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2023 c 334 s 7, 2023 c 332 s 6, and 2023 c 228 s 7 are each reenacted and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based on a city or county's actions taken to implement the requirements of RCW 36.70A.680 and 36.70A.681 within an urban growth area;</w:t>
      </w:r>
    </w:p>
    <w:p>
      <w:pPr>
        <w:spacing w:before="0" w:after="0" w:line="408" w:lineRule="exact"/>
        <w:ind w:left="0" w:right="0" w:firstLine="576"/>
        <w:jc w:val="left"/>
      </w:pPr>
      <w:r>
        <w:rPr/>
        <w:t xml:space="preserve">(b) That the 20-year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(f) That the department's final decision to approve or reject a proposed greenhouse gas emissions reduction subelement or amendments by a local government planning under RCW 36.70A.040 was not in compliance with the joint guidance issued by the department pursuant to RCW 70A.45.120; </w:t>
      </w:r>
      <w:r>
        <w:t>((</w:t>
      </w:r>
      <w:r>
        <w:rPr>
          <w:strike/>
        </w:rPr>
        <w:t xml:space="preserve">or</w:t>
      </w:r>
      <w:r>
        <w:t>))</w:t>
      </w:r>
    </w:p>
    <w:p>
      <w:pPr>
        <w:spacing w:before="0" w:after="0" w:line="408" w:lineRule="exact"/>
        <w:ind w:left="0" w:right="0" w:firstLine="576"/>
        <w:jc w:val="left"/>
      </w:pPr>
      <w:r>
        <w:rPr/>
        <w:t xml:space="preserve">(g) That the department's final decision to approve or reject actions by a city implementing RCW 36.70A.635 is clearly erroneous</w:t>
      </w:r>
      <w:r>
        <w:rPr>
          <w:u w:val="single"/>
        </w:rPr>
        <w:t xml:space="preserve">;</w:t>
      </w:r>
    </w:p>
    <w:p>
      <w:pPr>
        <w:spacing w:before="0" w:after="0" w:line="408" w:lineRule="exact"/>
        <w:ind w:left="0" w:right="0" w:firstLine="576"/>
        <w:jc w:val="left"/>
      </w:pPr>
      <w:r>
        <w:rPr>
          <w:u w:val="single"/>
        </w:rPr>
        <w:t xml:space="preserve">(h) That a clear and objective standard adopted by a city or county under section 2(6)(a) of this act is not consistent with the requirements of section 2 of this act;</w:t>
      </w:r>
    </w:p>
    <w:p>
      <w:pPr>
        <w:spacing w:before="0" w:after="0" w:line="408" w:lineRule="exact"/>
        <w:ind w:left="0" w:right="0" w:firstLine="576"/>
        <w:jc w:val="left"/>
      </w:pPr>
      <w:r>
        <w:rPr>
          <w:u w:val="single"/>
        </w:rPr>
        <w:t xml:space="preserve">(i) That a clear and objective model ordinance adopted by a county or city pursuant to section 2(6)(b) of this act is not consistent with the department's clear and objective model code under RCW 36.70A.190(9). In reaching its determination, the board shall give substantial weight to the department's expertise in its approval of a city or county's ordinance under section 2(6)(b) of this act; or</w:t>
      </w:r>
    </w:p>
    <w:p>
      <w:pPr>
        <w:spacing w:before="0" w:after="0" w:line="408" w:lineRule="exact"/>
        <w:ind w:left="0" w:right="0" w:firstLine="576"/>
        <w:jc w:val="left"/>
      </w:pPr>
      <w:r>
        <w:rPr>
          <w:u w:val="single"/>
        </w:rPr>
        <w:t xml:space="preserve">(j) Within 90 days of adoption by the department, that the model code adopted by the department under RCW 36.70A.190(9) does not comply with section 2 of this act or the requirements of this chapter</w:t>
      </w:r>
      <w:r>
        <w:rPr/>
        <w:t xml:space="preserve">.</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60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
      <w:pPr>
        <w:jc w:val="center"/>
      </w:pPr>
      <w:r>
        <w:rPr>
          <w:b/>
        </w:rPr>
        <w:t>--- END ---</w:t>
      </w:r>
    </w:p>
    <w:sectPr>
      <w:pgNumType w:start="1"/>
      <w:footerReference xmlns:r="http://schemas.openxmlformats.org/officeDocument/2006/relationships" r:id="R438b895b6ac24d1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36062f4824469a" /><Relationship Type="http://schemas.openxmlformats.org/officeDocument/2006/relationships/footer" Target="/word/footer1.xml" Id="R438b895b6ac24d17" /></Relationships>
</file>