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cbc03676642db" /></Relationships>
</file>

<file path=word/document.xml><?xml version="1.0" encoding="utf-8"?>
<w:document xmlns:w="http://schemas.openxmlformats.org/wordprocessingml/2006/main">
  <w:body>
    <w:p>
      <w:r>
        <w:t>S-0718.1</w:t>
      </w:r>
    </w:p>
    <w:p>
      <w:pPr>
        <w:jc w:val="center"/>
      </w:pPr>
      <w:r>
        <w:t>_______________________________________________</w:t>
      </w:r>
    </w:p>
    <w:p/>
    <w:p>
      <w:pPr>
        <w:jc w:val="center"/>
      </w:pPr>
      <w:r>
        <w:rPr>
          <w:b/>
        </w:rPr>
        <w:t>SENATE BILL 5555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Alvarado, Frame, and Nobles</w:t>
      </w:r>
    </w:p>
    <w:p/>
    <w:p>
      <w:r>
        <w:rPr>
          <w:t xml:space="preserve">Read first time 01/28/25.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zoning regulations in commercial, retail, and mixed-use areas in cities and code cities; amending RCW 35.21.990 and 35A.21.440;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or code city planning under RCW 36.70A.040 must allow for the following:</w:t>
      </w:r>
    </w:p>
    <w:p>
      <w:pPr>
        <w:spacing w:before="0" w:after="0" w:line="408" w:lineRule="exact"/>
        <w:ind w:left="0" w:right="0" w:firstLine="576"/>
        <w:jc w:val="left"/>
      </w:pPr>
      <w:r>
        <w:rPr/>
        <w:t xml:space="preserve">(a)(i) The addition of housing units in ground floor commercial or retail in a station area that is not designated as a major pedestrian corridor by the city or code city;</w:t>
      </w:r>
    </w:p>
    <w:p>
      <w:pPr>
        <w:spacing w:before="0" w:after="0" w:line="408" w:lineRule="exact"/>
        <w:ind w:left="0" w:right="0" w:firstLine="576"/>
        <w:jc w:val="left"/>
      </w:pPr>
      <w:r>
        <w:rPr/>
        <w:t xml:space="preserve">(ii) For the purposes of this section, a city or code city may not designate more than 10 percent of its area zoned as mixed-use or commercial as a major pedestrian corridor; and</w:t>
      </w:r>
    </w:p>
    <w:p>
      <w:pPr>
        <w:spacing w:before="0" w:after="0" w:line="408" w:lineRule="exact"/>
        <w:ind w:left="0" w:right="0" w:firstLine="576"/>
        <w:jc w:val="left"/>
      </w:pPr>
      <w:r>
        <w:rPr/>
        <w:t xml:space="preserve">(b) An expedited ability for a development to deviate from any street level use standards based on a showing that the requirement would result in the creation of fewer housing units in the development.</w:t>
      </w:r>
    </w:p>
    <w:p>
      <w:pPr>
        <w:spacing w:before="0" w:after="0" w:line="408" w:lineRule="exact"/>
        <w:ind w:left="0" w:right="0" w:firstLine="576"/>
        <w:jc w:val="left"/>
      </w:pPr>
      <w:r>
        <w:rPr/>
        <w:t xml:space="preserve">(2) For the purposes of this section, "station area" means all lots that are:</w:t>
      </w:r>
    </w:p>
    <w:p>
      <w:pPr>
        <w:spacing w:before="0" w:after="0" w:line="408" w:lineRule="exact"/>
        <w:ind w:left="0" w:right="0" w:firstLine="576"/>
        <w:jc w:val="left"/>
      </w:pPr>
      <w:r>
        <w:rPr/>
        <w:t xml:space="preserve">(a) Fully within an urban growth area; and</w:t>
      </w:r>
    </w:p>
    <w:p>
      <w:pPr>
        <w:spacing w:before="0" w:after="0" w:line="408" w:lineRule="exact"/>
        <w:ind w:left="0" w:right="0" w:firstLine="576"/>
        <w:jc w:val="left"/>
      </w:pPr>
      <w:r>
        <w:rPr/>
        <w:t xml:space="preserve">(b) Fully or partially within:</w:t>
      </w:r>
    </w:p>
    <w:p>
      <w:pPr>
        <w:spacing w:before="0" w:after="0" w:line="408" w:lineRule="exact"/>
        <w:ind w:left="0" w:right="0" w:firstLine="576"/>
        <w:jc w:val="left"/>
      </w:pPr>
      <w:r>
        <w:rPr/>
        <w:t xml:space="preserve">(i) One-half mile walking distance of an entrance to a train station with a stop on a light rail system, a commuter rail stop, or a stop on rail or fixed guideway systems; or</w:t>
      </w:r>
    </w:p>
    <w:p>
      <w:pPr>
        <w:spacing w:before="0" w:after="0" w:line="408" w:lineRule="exact"/>
        <w:ind w:left="0" w:right="0" w:firstLine="576"/>
        <w:jc w:val="left"/>
      </w:pPr>
      <w:r>
        <w:rPr/>
        <w:t xml:space="preserve">(ii) One-quarter mile walking distance of a stop on a fixed route bus system that is designated as a bus rapid transit stop in the transit development plan as required in RCW 35.58.2795, for which an environmental determination has been issued as required under chapter 43.21C RCW, and that features fixed transit assets that indicate permanent, high capacity service including, but not limited to, elevated platforms or enhanced stations, off-board fare collection, dedicated lanes, busways, or transit signal priority.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990</w:t>
      </w:r>
      <w:r>
        <w:rPr/>
        <w:t xml:space="preserve"> and 2023 c 285 s 2 are each amended to read as follows:</w:t>
      </w:r>
    </w:p>
    <w:p>
      <w:pPr>
        <w:spacing w:before="0" w:after="0" w:line="408" w:lineRule="exact"/>
        <w:ind w:left="0" w:right="0" w:firstLine="576"/>
        <w:jc w:val="left"/>
      </w:pPr>
      <w:r>
        <w:rPr/>
        <w:t xml:space="preserve">(1)(a) Cities must adopt or amend by ordinance, and incorporate into their development regulations, zoning regulations, and other official controls the requirements of subsection (2) of this section for buildings that are zoned for commercial or mixed use no later than six months after its next periodic comprehensive plan update required under RCW 36.70A.130.</w:t>
      </w:r>
    </w:p>
    <w:p>
      <w:pPr>
        <w:spacing w:before="0" w:after="0" w:line="408" w:lineRule="exact"/>
        <w:ind w:left="0" w:right="0" w:firstLine="576"/>
        <w:jc w:val="left"/>
      </w:pPr>
      <w:r>
        <w:rPr/>
        <w:t xml:space="preserve">(b) The requirements of subsection (2) of this section apply and take effect in any city that has not adopted or amended ordinances, regulations, or other official controls as required under this section by the timeline in (a) of this subsection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cities may not:</w:t>
      </w:r>
    </w:p>
    <w:p>
      <w:pPr>
        <w:spacing w:before="0" w:after="0" w:line="408" w:lineRule="exact"/>
        <w:ind w:left="0" w:right="0" w:firstLine="576"/>
        <w:jc w:val="left"/>
      </w:pPr>
      <w:r>
        <w:rPr/>
        <w:t xml:space="preserve">(a) Impose a restriction on housing unit density that prevents the addition of housing units at a density up to 50 percent more than what is allowed in the underlying zone if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 however, cities may require the retention of existing parking that is required to satisfy existing residential parking requirements under local laws and for nonresidential uses that remain after the new units are added;</w:t>
      </w:r>
    </w:p>
    <w:p>
      <w:pPr>
        <w:spacing w:before="0" w:after="0" w:line="408" w:lineRule="exact"/>
        <w:ind w:left="0" w:right="0" w:firstLine="576"/>
        <w:jc w:val="left"/>
      </w:pPr>
      <w:r>
        <w:rPr/>
        <w:t xml:space="preserve">(c) With the exception of emergency housing and transitional housing uses,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or to preserve character-defining streetscapes, unless the building is a designated landmark or is within a historic district established through a local preservation ordinance;</w:t>
      </w:r>
    </w:p>
    <w:p>
      <w:pPr>
        <w:spacing w:before="0" w:after="0" w:line="408" w:lineRule="exact"/>
        <w:ind w:left="0" w:right="0" w:firstLine="576"/>
        <w:jc w:val="left"/>
      </w:pPr>
      <w:r>
        <w:rPr/>
        <w:t xml:space="preserve">(f) Prohibit the addition of housing units in any specific part of a building except ground floor commercial or retail that is along a major pedestrian corridor as defined by each city, </w:t>
      </w:r>
      <w:r>
        <w:rPr>
          <w:u w:val="single"/>
        </w:rPr>
        <w:t xml:space="preserve">except as provided in section 1 of this act,</w:t>
      </w:r>
      <w:r>
        <w:rPr/>
        <w:t xml:space="preserve"> unless the addition of the units would violate applicable building codes or health and safety standards;</w:t>
      </w:r>
    </w:p>
    <w:p>
      <w:pPr>
        <w:spacing w:before="0" w:after="0" w:line="408" w:lineRule="exact"/>
        <w:ind w:left="0" w:right="0" w:firstLine="576"/>
        <w:jc w:val="left"/>
      </w:pPr>
      <w:r>
        <w:rPr/>
        <w:t xml:space="preserve">(g) Require unchanged portions of an existing building used for residential purposes to meet the current energy code solely because of the addition of new dwelling units within the building, however, if any portion of an existing building is converted to new dwelling units, each of those new units must meet the requirements of the current energy code;</w:t>
      </w:r>
    </w:p>
    <w:p>
      <w:pPr>
        <w:spacing w:before="0" w:after="0" w:line="408" w:lineRule="exact"/>
        <w:ind w:left="0" w:right="0" w:firstLine="576"/>
        <w:jc w:val="left"/>
      </w:pPr>
      <w:r>
        <w:rPr/>
        <w:t xml:space="preserve">(h) Deny a building permit application for the addition of housing units within an existing building due to nonconformity regarding parking, height, setbacks, elevator size for gurney transport, or modulation, unless the city official with decision-making authority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w:t>
      </w:r>
      <w:r>
        <w:rPr>
          <w:u w:val="single"/>
        </w:rPr>
        <w:t xml:space="preserve">(a) Cities must adopt zoning regulations that allow for greater building height and increased density in all commercial and mixed-use zones for developments built with all mass timber products.</w:t>
      </w:r>
    </w:p>
    <w:p>
      <w:pPr>
        <w:spacing w:before="0" w:after="0" w:line="408" w:lineRule="exact"/>
        <w:ind w:left="0" w:right="0" w:firstLine="576"/>
        <w:jc w:val="left"/>
      </w:pPr>
      <w:r>
        <w:rPr>
          <w:u w:val="single"/>
        </w:rPr>
        <w:t xml:space="preserve">(b) For the purposes of this subsection, "mass timber products" has the same meaning as in RCW 19.27.570.</w:t>
      </w:r>
    </w:p>
    <w:p>
      <w:pPr>
        <w:spacing w:before="0" w:after="0" w:line="408" w:lineRule="exact"/>
        <w:ind w:left="0" w:right="0" w:firstLine="576"/>
        <w:jc w:val="left"/>
      </w:pPr>
      <w:r>
        <w:rPr>
          <w:u w:val="single"/>
        </w:rPr>
        <w:t xml:space="preserve">(4)</w:t>
      </w:r>
      <w:r>
        <w:rPr/>
        <w:t xml:space="preserve"> Nothing in this section requires a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the purpose of this section, "existing building" means a building that received a certificate of occupancy at least three years prior to the permit application to add housing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440</w:t>
      </w:r>
      <w:r>
        <w:rPr/>
        <w:t xml:space="preserve"> and 2023 c 285 s 1 are each amended to read as follows:</w:t>
      </w:r>
    </w:p>
    <w:p>
      <w:pPr>
        <w:spacing w:before="0" w:after="0" w:line="408" w:lineRule="exact"/>
        <w:ind w:left="0" w:right="0" w:firstLine="576"/>
        <w:jc w:val="left"/>
      </w:pPr>
      <w:r>
        <w:rPr/>
        <w:t xml:space="preserve">(1)(a) Code cities must adopt or amend by ordinance, and incorporate into their development regulations, zoning regulations, and other official controls the requirements of subsection (2) of this section for buildings that are zoned for commercial or mixed use no later than six months after its next periodic comprehensive plan update required under RCW 36.70A.130.</w:t>
      </w:r>
    </w:p>
    <w:p>
      <w:pPr>
        <w:spacing w:before="0" w:after="0" w:line="408" w:lineRule="exact"/>
        <w:ind w:left="0" w:right="0" w:firstLine="576"/>
        <w:jc w:val="left"/>
      </w:pPr>
      <w:r>
        <w:rPr/>
        <w:t xml:space="preserve">(b) The requirements of subsection (2) of this section apply and take effect in any code city that has not adopted or amended ordinances, regulations, or other official controls as required under this section by the timeline in (a) of this subsection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code cities may not:</w:t>
      </w:r>
    </w:p>
    <w:p>
      <w:pPr>
        <w:spacing w:before="0" w:after="0" w:line="408" w:lineRule="exact"/>
        <w:ind w:left="0" w:right="0" w:firstLine="576"/>
        <w:jc w:val="left"/>
      </w:pPr>
      <w:r>
        <w:rPr/>
        <w:t xml:space="preserve">(a) Impose a restriction on housing unit density that prevents the addition of housing units at a density up to 50 percent more than what is allowed in the underlying zone if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 however, </w:t>
      </w:r>
      <w:r>
        <w:rPr>
          <w:u w:val="single"/>
        </w:rPr>
        <w:t xml:space="preserve">code</w:t>
      </w:r>
      <w:r>
        <w:rPr/>
        <w:t xml:space="preserve"> cities may require the retention of existing parking that is required to satisfy existing residential parking requirements under local laws and for nonresidential uses that remain after the new units are added;</w:t>
      </w:r>
    </w:p>
    <w:p>
      <w:pPr>
        <w:spacing w:before="0" w:after="0" w:line="408" w:lineRule="exact"/>
        <w:ind w:left="0" w:right="0" w:firstLine="576"/>
        <w:jc w:val="left"/>
      </w:pPr>
      <w:r>
        <w:rPr/>
        <w:t xml:space="preserve">(c) With the exception of emergency housing and transitional housing uses,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or to preserve character-defining streetscapes, unless the building is a designated landmark or is within a historic district established through a local preservation ordinance;</w:t>
      </w:r>
    </w:p>
    <w:p>
      <w:pPr>
        <w:spacing w:before="0" w:after="0" w:line="408" w:lineRule="exact"/>
        <w:ind w:left="0" w:right="0" w:firstLine="576"/>
        <w:jc w:val="left"/>
      </w:pPr>
      <w:r>
        <w:rPr/>
        <w:t xml:space="preserve">(f) Prohibit the addition of housing units in any specific part of a building except ground floor commercial or retail that is along a major pedestrian corridor as defined by the code city, </w:t>
      </w:r>
      <w:r>
        <w:rPr>
          <w:u w:val="single"/>
        </w:rPr>
        <w:t xml:space="preserve">except as provided in section 1 of this act,</w:t>
      </w:r>
      <w:r>
        <w:rPr/>
        <w:t xml:space="preserve"> unless the addition of the units would violate applicable building codes or health and safety standards;</w:t>
      </w:r>
    </w:p>
    <w:p>
      <w:pPr>
        <w:spacing w:before="0" w:after="0" w:line="408" w:lineRule="exact"/>
        <w:ind w:left="0" w:right="0" w:firstLine="576"/>
        <w:jc w:val="left"/>
      </w:pPr>
      <w:r>
        <w:rPr/>
        <w:t xml:space="preserve">(g) Require unchanged portions of an existing building used for residential purposes to meet the current energy code solely because of the addition of new dwelling units within the building, however, if any portion of an existing building is converted to new dwelling units, each of those new units must meet the requirements of the current energy code;</w:t>
      </w:r>
    </w:p>
    <w:p>
      <w:pPr>
        <w:spacing w:before="0" w:after="0" w:line="408" w:lineRule="exact"/>
        <w:ind w:left="0" w:right="0" w:firstLine="576"/>
        <w:jc w:val="left"/>
      </w:pPr>
      <w:r>
        <w:rPr/>
        <w:t xml:space="preserve">(h) Deny a building permit application for the addition of housing units within an existing building due to nonconformity regarding parking, height, setbacks, elevator size for gurney transport, or modulation, unless the code city official with decision-making authority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w:t>
      </w:r>
      <w:r>
        <w:rPr>
          <w:u w:val="single"/>
        </w:rPr>
        <w:t xml:space="preserve">(a) Code cities must adopt zoning regulations that allow for greater building height and increased density in all commercial and mixed-use zones for developments built with all mass timber products.</w:t>
      </w:r>
    </w:p>
    <w:p>
      <w:pPr>
        <w:spacing w:before="0" w:after="0" w:line="408" w:lineRule="exact"/>
        <w:ind w:left="0" w:right="0" w:firstLine="576"/>
        <w:jc w:val="left"/>
      </w:pPr>
      <w:r>
        <w:rPr>
          <w:u w:val="single"/>
        </w:rPr>
        <w:t xml:space="preserve">(b) For the purposes of this subsection, "mass timber products" has the same meaning as in RCW 19.27.570.</w:t>
      </w:r>
    </w:p>
    <w:p>
      <w:pPr>
        <w:spacing w:before="0" w:after="0" w:line="408" w:lineRule="exact"/>
        <w:ind w:left="0" w:right="0" w:firstLine="576"/>
        <w:jc w:val="left"/>
      </w:pPr>
      <w:r>
        <w:rPr>
          <w:u w:val="single"/>
        </w:rPr>
        <w:t xml:space="preserve">(4)</w:t>
      </w:r>
      <w:r>
        <w:rPr/>
        <w:t xml:space="preserve"> Nothing in this section requires a code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the purpose of this section, "existing building" means a building that received a certificate of occupancy at least three years prior to the permit application to add housing units.</w:t>
      </w:r>
    </w:p>
    <w:p/>
    <w:p>
      <w:pPr>
        <w:jc w:val="center"/>
      </w:pPr>
      <w:r>
        <w:rPr>
          <w:b/>
        </w:rPr>
        <w:t>--- END ---</w:t>
      </w:r>
    </w:p>
    <w:sectPr>
      <w:pgNumType w:start="1"/>
      <w:footerReference xmlns:r="http://schemas.openxmlformats.org/officeDocument/2006/relationships" r:id="Rdac5180c10994b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8c628dbe83432e" /><Relationship Type="http://schemas.openxmlformats.org/officeDocument/2006/relationships/footer" Target="/word/footer1.xml" Id="Rdac5180c10994bdc" /></Relationships>
</file>