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7d636b5714a0d" /></Relationships>
</file>

<file path=word/document.xml><?xml version="1.0" encoding="utf-8"?>
<w:document xmlns:w="http://schemas.openxmlformats.org/wordprocessingml/2006/main">
  <w:body>
    <w:p>
      <w:r>
        <w:t>S-0921.1</w:t>
      </w:r>
    </w:p>
    <w:p>
      <w:pPr>
        <w:jc w:val="center"/>
      </w:pPr>
      <w:r>
        <w:t>_______________________________________________</w:t>
      </w:r>
    </w:p>
    <w:p/>
    <w:p>
      <w:pPr>
        <w:jc w:val="center"/>
      </w:pPr>
      <w:r>
        <w:rPr>
          <w:b/>
        </w:rPr>
        <w:t>SENATE BILL 5550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MacEwen and J. Wilson</w:t>
      </w:r>
    </w:p>
    <w:p/>
    <w:p>
      <w:r>
        <w:rPr>
          <w:t xml:space="preserve">Read first time 01/28/25.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the state transportation system using climate commitment act revenues; amending RCW 70A.65.100, 70A.65.240, and 70A.65.250; adding a new section to chapter 70A.65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Washington's transportation infrastructure can support the safe and efficient movement of people and goods. The legislature finds that people were told that a repeal of the climate commitment act would devastate transportation and infrastructure programs, putting major road and bridge projects at risk of delay or even cancellation. Yet, the climate commitment act prohibits the use of auction revenues for funding major road and bridge projects. The legislature recognizes that public transit and zero emissions vehicles travel on roads. Congestion on the highway system increases greenhouse gas emissions, instead of reducing them. Therefore, the legislature finds to respect the will of the voters and honor statements made to the people, climate commitment act revenues are appropriately used for road and bridge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Revenues derived under this act must be used on major highway projects and bridge replacements including, but not limited to, funding to replace the Interstate 5 bridge over the Columbia river; finish the US 395 North Spokane corridor; finish the state route number 520 bridge; and the Gateway freight project connecting state route number 509 and state route number 167 to the ports in Pierce county and King county to help move freight and reduce congestion.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2024 c 352 s 5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25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w:t>
      </w:r>
    </w:p>
    <w:p>
      <w:pPr>
        <w:spacing w:before="0" w:after="0" w:line="408" w:lineRule="exact"/>
        <w:ind w:left="0" w:right="0" w:firstLine="576"/>
        <w:jc w:val="left"/>
      </w:pPr>
      <w:r>
        <w:rPr/>
        <w:t xml:space="preserve">(c) Until Washington links with a jurisdiction that does not have this requirement, a general market participant may not in aggregate own more than 10 percent of total allowances to be issued in a calendar year;</w:t>
      </w:r>
    </w:p>
    <w:p>
      <w:pPr>
        <w:spacing w:before="0" w:after="0" w:line="408" w:lineRule="exact"/>
        <w:ind w:left="0" w:right="0" w:firstLine="576"/>
        <w:jc w:val="left"/>
      </w:pPr>
      <w:r>
        <w:rPr/>
        <w:t xml:space="preserve">(d) No registered entity may buy more than the entity's bid guarantee; and</w:t>
      </w:r>
    </w:p>
    <w:p>
      <w:pPr>
        <w:spacing w:before="0" w:after="0" w:line="408" w:lineRule="exact"/>
        <w:ind w:left="0" w:right="0" w:firstLine="576"/>
        <w:jc w:val="left"/>
      </w:pPr>
      <w:r>
        <w:rPr/>
        <w:t xml:space="preserve">(e)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 except during fiscal year 2024, the deposit as provided in this subsection (7)(b)(i) may be prorated equally across each of the auctions occurring in fiscal year 2024; and (ii) the remaining auction proceeds to the climate investment account created in RCW 70A.65.250 and the air quality and health disparities improvement account created in RCW 70A.65.280, which may be prorated equally across each of the auctions occurring in fiscal year 2024.</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w:t>
      </w:r>
    </w:p>
    <w:p>
      <w:pPr>
        <w:spacing w:before="0" w:after="0" w:line="408" w:lineRule="exact"/>
        <w:ind w:left="0" w:right="0" w:firstLine="576"/>
        <w:jc w:val="left"/>
      </w:pPr>
      <w:r>
        <w:rPr/>
        <w:t xml:space="preserve">(i) $366,558,000 must first be deposited into the carbon emissions reduction account created in RCW 70A.65.240, except that during fiscal year 2025, the deposit as provided in this subsection (7)(c)(i) may be prorated equally across each of the auctions occurring in fiscal year 2025; </w:t>
      </w:r>
      <w:r>
        <w:t>((</w:t>
      </w:r>
      <w:r>
        <w:rPr>
          <w:strike/>
        </w:rPr>
        <w:t xml:space="preserve">and</w:t>
      </w:r>
      <w:r>
        <w:t>))</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The</w:t>
      </w:r>
      <w:r>
        <w:rPr/>
        <w:t xml:space="preserve"> remaining auction proceeds to the climate investment account created in RCW 70A.65.250 and the air quality and health disparities improvement account created in RCW 70A.65.280, which may be prorated equally across each of the auctions occurring in fiscal year 2025</w:t>
      </w:r>
      <w:r>
        <w:rPr>
          <w:u w:val="single"/>
        </w:rPr>
        <w:t xml:space="preserve">; and</w:t>
      </w:r>
    </w:p>
    <w:p>
      <w:pPr>
        <w:spacing w:before="0" w:after="0" w:line="408" w:lineRule="exact"/>
        <w:ind w:left="0" w:right="0" w:firstLine="576"/>
        <w:jc w:val="left"/>
      </w:pPr>
      <w:r>
        <w:rPr>
          <w:u w:val="single"/>
        </w:rPr>
        <w:t xml:space="preserve">(iii) The legislature intends to transfer funding in fiscal year 2025 from one or more climate commitment act accounts to the multimodal transportation account created in RCW 47.66.070</w:t>
      </w:r>
      <w:r>
        <w:rPr/>
        <w:t xml:space="preserve">.</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w:t>
      </w:r>
      <w:r>
        <w:t>((</w:t>
      </w:r>
      <w:r>
        <w:rPr>
          <w:strike/>
        </w:rPr>
        <w:t xml:space="preserve">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r>
        <w:t>))</w:t>
      </w:r>
      <w:r>
        <w:rPr/>
        <w:t xml:space="preserve"> </w:t>
      </w:r>
      <w:r>
        <w:rPr>
          <w:u w:val="single"/>
        </w:rPr>
        <w:t xml:space="preserve">In each fiscal year during fiscal years 2026 through 2037, the office of financial management must determine the total amount of auction proceeds that are obligated by legislative appropriation or the deposits into the carbon emissions reduction account under this section, and prorate this obligated amount among the auctions in each fiscal year as appropriate. Following each auction, the office of financial management must determine the amount of additional auction proceeds that exceed the obligated amount in this subsection, if any, and direct the state treasurer to transfer 50 percent of these additional auction proceeds from one or more climate commitment act accounts with available funds into the multimodal transportation account created in RCW 47.66.070.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240</w:t>
      </w:r>
      <w:r>
        <w:rPr/>
        <w:t xml:space="preserve"> and 2022 c 182 s 101 are each amended to read as follows:</w:t>
      </w:r>
    </w:p>
    <w:p>
      <w:pPr>
        <w:spacing w:before="0" w:after="0" w:line="408" w:lineRule="exact"/>
        <w:ind w:left="0" w:right="0" w:firstLine="576"/>
        <w:jc w:val="left"/>
      </w:pPr>
      <w:r>
        <w:rPr/>
        <w:t xml:space="preserve">(1) The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These can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w:t>
      </w:r>
      <w:r>
        <w:rPr>
          <w:u w:val="single"/>
        </w:rPr>
        <w:t xml:space="preserve">projects that reduce congestion on roadways;</w:t>
      </w:r>
      <w:r>
        <w:rPr/>
        <w:t xml:space="preserve"> and emission reduction programs for freight transportation, including motor vehicles and rail, as well as for ferries and other maritime and port activities. Expenditures from the account </w:t>
      </w:r>
      <w:r>
        <w:t>((</w:t>
      </w:r>
      <w:r>
        <w:rPr>
          <w:strike/>
        </w:rPr>
        <w:t xml:space="preserve">may only be made for transportation carbon emission reducing purposes and may not be made for highway purposes authorized under the 18th Amendment of the Washington state Constitution, other than specified in this section, and</w:t>
      </w:r>
      <w:r>
        <w:t>))</w:t>
      </w:r>
      <w:r>
        <w:rPr/>
        <w:t xml:space="preserve"> shall be made in accordance with subsection (2) of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0" w:after="0" w:line="408" w:lineRule="exact"/>
        <w:ind w:left="0" w:right="0" w:firstLine="576"/>
        <w:jc w:val="left"/>
      </w:pPr>
      <w:r>
        <w:rPr/>
        <w:t xml:space="preserve">(2) Appropriations in an omnibus transportation appropriations act from the carbon emissions reduction account shall be made exclusively to fund the following activities:</w:t>
      </w:r>
    </w:p>
    <w:p>
      <w:pPr>
        <w:spacing w:before="0" w:after="0" w:line="408" w:lineRule="exact"/>
        <w:ind w:left="0" w:right="0" w:firstLine="576"/>
        <w:jc w:val="left"/>
      </w:pPr>
      <w:r>
        <w:rPr/>
        <w:t xml:space="preserve">(a) </w:t>
      </w:r>
      <w:r>
        <w:rPr>
          <w:u w:val="single"/>
        </w:rPr>
        <w:t xml:space="preserve">Maintenance, repairs, improvements, and replacement of highways and transportation routes, favoring bridges used by active transportation and transit users;</w:t>
      </w:r>
    </w:p>
    <w:p>
      <w:pPr>
        <w:spacing w:before="0" w:after="0" w:line="408" w:lineRule="exact"/>
        <w:ind w:left="0" w:right="0" w:firstLine="576"/>
        <w:jc w:val="left"/>
      </w:pPr>
      <w:r>
        <w:rPr>
          <w:u w:val="single"/>
        </w:rPr>
        <w:t xml:space="preserve">(b)</w:t>
      </w:r>
      <w:r>
        <w:rPr/>
        <w:t xml:space="preserve"> Active transportation;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Transit programs and projects;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Alternative fuel and electrification;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Ferries;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2024 c 376 s 911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w:t>
      </w:r>
      <w:r>
        <w:rPr>
          <w:u w:val="single"/>
        </w:rPr>
        <w:t xml:space="preserve">RCW 70.65.100 and 70.65.240 and</w:t>
      </w:r>
      <w:r>
        <w:rPr/>
        <w:t xml:space="preserve"> chapter 316, Laws of 2021, </w:t>
      </w:r>
      <w:r>
        <w:t>((</w:t>
      </w:r>
      <w:r>
        <w:rPr>
          <w:strike/>
        </w:rPr>
        <w:t xml:space="preserve">all</w:t>
      </w:r>
      <w:r>
        <w:t>))</w:t>
      </w:r>
      <w:r>
        <w:rPr/>
        <w:t xml:space="preserve">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During the 2023-2025 fiscal biennium, moneys in the account may also be used for tribal capacity grant activities supporting climate resilience and adaptation, developing tribal clean energy projects, applying for state or federal grant funding, and other related work; and for providing payments to agricultural fuel purchasers.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2023,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t xml:space="preserve">(4) During the 2023-2025 fiscal biennium,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61071e2f316f4f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13b1493103499f" /><Relationship Type="http://schemas.openxmlformats.org/officeDocument/2006/relationships/footer" Target="/word/footer1.xml" Id="R61071e2f316f4f75" /></Relationships>
</file>