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e66c6ad804a5e" /></Relationships>
</file>

<file path=word/document.xml><?xml version="1.0" encoding="utf-8"?>
<w:document xmlns:w="http://schemas.openxmlformats.org/wordprocessingml/2006/main">
  <w:body>
    <w:p>
      <w:r>
        <w:t>S-0120.1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5533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Senators Fortunato and Christian</w:t>
      </w:r>
    </w:p>
    <w:p/>
    <w:p>
      <w:r>
        <w:rPr>
          <w:t xml:space="preserve">Read first time 01/28/25.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custody of a child when a parent has a history of domestic violence; and amending RCW 26.16.125.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26</w:t>
      </w:r>
      <w:r>
        <w:rPr/>
        <w:t xml:space="preserve">.</w:t>
      </w:r>
      <w:r>
        <w:t xml:space="preserve">16</w:t>
      </w:r>
      <w:r>
        <w:rPr/>
        <w:t xml:space="preserve">.</w:t>
      </w:r>
      <w:r>
        <w:t xml:space="preserve">125</w:t>
      </w:r>
      <w:r>
        <w:rPr/>
        <w:t xml:space="preserve"> and 2008 c 6 s 640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Henceforth the rights and responsibilities of the parents in the absence of misconduct </w:t>
      </w:r>
      <w:r>
        <w:rPr>
          <w:u w:val="single"/>
        </w:rPr>
        <w:t xml:space="preserve">(a)</w:t>
      </w:r>
      <w:r>
        <w:rPr/>
        <w:t xml:space="preserve"> shall be equal, and one parent shall be as fully entitled to the custody, control</w:t>
      </w:r>
      <w:r>
        <w:rPr>
          <w:u w:val="single"/>
        </w:rPr>
        <w:t xml:space="preserve">,</w:t>
      </w:r>
      <w:r>
        <w:rPr/>
        <w:t xml:space="preserve"> and earnings of the children as the other parent, and </w:t>
      </w:r>
      <w:r>
        <w:rPr>
          <w:u w:val="single"/>
        </w:rPr>
        <w:t xml:space="preserve">(b)</w:t>
      </w:r>
      <w:r>
        <w:rPr/>
        <w:t xml:space="preserve"> in case of one parent's death, the other parent shall come into full and complete control of the children and their estate.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 Misconduct includes having a history of domestic violence, as defined in RCW 10.99.020, against the child's living or deceased parent.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12a39c72159458b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5533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e6b4f3d124fe1" /><Relationship Type="http://schemas.openxmlformats.org/officeDocument/2006/relationships/footer" Target="/word/footer1.xml" Id="R212a39c72159458b" /></Relationships>
</file>