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aa4e358694263" /></Relationships>
</file>

<file path=word/document.xml><?xml version="1.0" encoding="utf-8"?>
<w:document xmlns:w="http://schemas.openxmlformats.org/wordprocessingml/2006/main">
  <w:body>
    <w:p>
      <w:r>
        <w:t>S-1431.1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BILL 5493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69th Legislature</w:t>
        <w:tab/>
      </w:r>
      <w:r>
        <w:rPr>
          <w:b/>
        </w:rPr>
        <w:t>2025 Regular Session</w:t>
      </w:r>
    </w:p>
    <w:p/>
    <w:p>
      <w:r>
        <w:rPr>
          <w:b/>
        </w:rPr>
        <w:t xml:space="preserve">By </w:t>
      </w:r>
      <w:r>
        <w:t>Senate Health &amp; Long-Term Care (originally sponsored by Senators Riccelli, Robinson, Conway, Nobles, Ramos, Stanford, Valdez, and C. Wilson)</w:t>
      </w:r>
    </w:p>
    <w:p/>
    <w:p>
      <w:r>
        <w:rPr>
          <w:t xml:space="preserve">READ FIRST TIME 02/19/25.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hospital price transparency; and adding a new section to chapter 70.41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70</w:t>
      </w:r>
      <w:r>
        <w:rPr/>
        <w:t xml:space="preserve">.</w:t>
      </w:r>
      <w:r>
        <w:t xml:space="preserve">41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(1) By July 1, 2027, hospitals shall publish all data and comply with all rules related to hospital price transparency pursuant to 45 C.F.R. Part 180, subparts A and B, as they existed on January 1, 2025.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(2) Beginning July 1, 2027, hospitals shall submit the most recent machine-readable file containing a list of all standard charges for all hospital items or services and the most recent consumer-friendly list of standard charges for a limited set of shoppable services, as required in federal rule, to the department at least once a year.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166a962278084170"/>
      <w:pgMar w:top="720" w:right="1008" w:bottom="475" w:left="129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SSB 5493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601bd90b8b40bb" /><Relationship Type="http://schemas.openxmlformats.org/officeDocument/2006/relationships/footer" Target="/word/footer1.xml" Id="R166a962278084170" /></Relationships>
</file>