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bdbb0a7ed4e61" /></Relationships>
</file>

<file path=word/document.xml><?xml version="1.0" encoding="utf-8"?>
<w:document xmlns:w="http://schemas.openxmlformats.org/wordprocessingml/2006/main">
  <w:body>
    <w:p>
      <w:r>
        <w:t>S-0298.5</w:t>
      </w:r>
    </w:p>
    <w:p>
      <w:pPr>
        <w:jc w:val="center"/>
      </w:pPr>
      <w:r>
        <w:t>_______________________________________________</w:t>
      </w:r>
    </w:p>
    <w:p/>
    <w:p>
      <w:pPr>
        <w:jc w:val="center"/>
      </w:pPr>
      <w:r>
        <w:rPr>
          <w:b/>
        </w:rPr>
        <w:t>SENATE BILL 5480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Bateman, Alvarado, Chapman, Hasegawa, Lovelett, Nobles, Orwall, Ramos, Robinson, Slatter, Stanford, Trudeau, Valdez, and C. Wilson</w:t>
      </w:r>
    </w:p>
    <w:p/>
    <w:p>
      <w:r>
        <w:rPr>
          <w:t xml:space="preserve">Read first time 01/24/25.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by removing barriers created by medical debt; amending RCW 19.16.100, 19.182.040, 70.41.400, and 70.54.005; reenacting and amending RCW 19.16.250;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2020 c 30 s 1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(8) "Debtor" means any person owing or alleged to owe a claim.</w:t>
      </w:r>
    </w:p>
    <w:p>
      <w:pPr>
        <w:spacing w:before="0" w:after="0" w:line="408" w:lineRule="exact"/>
        <w:ind w:left="0" w:right="0" w:firstLine="576"/>
        <w:jc w:val="left"/>
      </w:pPr>
      <w:r>
        <w:rPr/>
        <w:t xml:space="preserve">(9) "Director" means the director of licensing.</w:t>
      </w:r>
    </w:p>
    <w:p>
      <w:pPr>
        <w:spacing w:before="0" w:after="0" w:line="408" w:lineRule="exact"/>
        <w:ind w:left="0" w:right="0" w:firstLine="576"/>
        <w:jc w:val="left"/>
      </w:pPr>
      <w:r>
        <w:rPr/>
        <w:t xml:space="preserve">(10) "Licensee" means any person licensed under this chapter.</w:t>
      </w:r>
    </w:p>
    <w:p>
      <w:pPr>
        <w:spacing w:before="0" w:after="0" w:line="408" w:lineRule="exact"/>
        <w:ind w:left="0" w:right="0" w:firstLine="576"/>
        <w:jc w:val="left"/>
      </w:pPr>
      <w:r>
        <w:rPr/>
        <w:t xml:space="preserve">(11) "Medical debt" means any obligation for the payment of money arising out of any agreement or contract, express or implied, for the provision of health care services as defined in RCW 48.44.010 </w:t>
      </w:r>
      <w:r>
        <w:rPr>
          <w:u w:val="single"/>
        </w:rPr>
        <w:t xml:space="preserve">and the following health care products and devices: Manual and electric wheelchairs, hospital beds for home use, mobility scooters, adjustable recliner chairs, continuous positive airway pressure machines, bi-level positive airway pressure machines, oxygen concentrators, ventilators, artificial or prosthetic limbs, hearing aids, cochlear implants, infusion pumps, insulin pumps, home dialysis machines, pacemakers, insulin management devices, stair and platform lifts, standing frames and walkers, heart rate monitors, blood pressure monitoring systems, in-home fetal monitors, cardiac monitors, defibrillators, custom-made or artificial eyes, advanced orthopedic implants, ventricular assist devices, dental implants, and voice amplifiers. Medical debt includes debt accrued using credit cards issued by a financial institution for the specific purpose and use of payment for health care services, products, and devices</w:t>
      </w:r>
      <w:r>
        <w:rPr/>
        <w:t xml:space="preserve">. In the context of "medical debt," "charity care" has the same meaning as provided in RCW 70.170.020.</w:t>
      </w:r>
    </w:p>
    <w:p>
      <w:pPr>
        <w:spacing w:before="0" w:after="0" w:line="408" w:lineRule="exact"/>
        <w:ind w:left="0" w:right="0" w:firstLine="576"/>
        <w:jc w:val="left"/>
      </w:pPr>
      <w:r>
        <w:rPr/>
        <w:t xml:space="preserve">(12)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(13) "Person" includes individual, firm, partnership, trust, joint venture, association, or corporation.</w:t>
      </w:r>
    </w:p>
    <w:p>
      <w:pPr>
        <w:spacing w:before="0" w:after="0" w:line="408" w:lineRule="exact"/>
        <w:ind w:left="0" w:right="0" w:firstLine="576"/>
        <w:jc w:val="left"/>
      </w:pPr>
      <w:r>
        <w:rPr/>
        <w:t xml:space="preserve">(14) "Statement of account" means a report setting forth only amounts billed, invoices, credits allowed, or aged balance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medical debt is void and unenforceable if a person, health care provider, health care facility, or licensed collection agency violates this section by furnishing information regarding the medical debt to a consumer credit reporting agency.</w:t>
      </w:r>
    </w:p>
    <w:p>
      <w:pPr>
        <w:spacing w:before="0" w:after="0" w:line="408" w:lineRule="exact"/>
        <w:ind w:left="0" w:right="0" w:firstLine="576"/>
        <w:jc w:val="left"/>
      </w:pPr>
      <w:r>
        <w:rPr/>
        <w:t xml:space="preserve">(2) It is unlawful to enter into a contract creating a medical debt that does not include the following terms: "A holder of this medical debt is prohibited from furnishing any information related to this debt to a consumer credit reporting agency. In addition to any other penalties allowed by law, if a person, health care provider, or health care facility violates this section by furnishing information regarding this debt to a consumer credit reporting agency, the debt shall be void and unenforceable."</w:t>
      </w:r>
    </w:p>
    <w:p>
      <w:pPr>
        <w:spacing w:before="0" w:after="0" w:line="408" w:lineRule="exact"/>
        <w:ind w:left="0" w:right="0" w:firstLine="576"/>
        <w:jc w:val="left"/>
      </w:pPr>
      <w:r>
        <w:rPr/>
        <w:t xml:space="preserve">(3) Any contract creating a medical debt entered into on or after the effective date of this section that does not include the term described in subsection (2) of this section is void and unenforceable.</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2019 c 227 s 4 and 2019 c 201 s 2 are each reenacted and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Except as provided in subsection (28)</w:t>
      </w:r>
      <w:r>
        <w:t>((</w:t>
      </w:r>
      <w:r>
        <w:rPr>
          <w:strike/>
        </w:rPr>
        <w:t xml:space="preserve">(c)</w:t>
      </w:r>
      <w:r>
        <w:t>))</w:t>
      </w:r>
      <w:r>
        <w:rPr/>
        <w:t xml:space="preserve"> </w:t>
      </w:r>
      <w:r>
        <w:rPr>
          <w:u w:val="single"/>
        </w:rPr>
        <w:t xml:space="preserve">(a)(iii)</w:t>
      </w:r>
      <w:r>
        <w:rPr/>
        <w:t xml:space="preserve"> of this section,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t xml:space="preserve">(27) Serve a debtor with a summons and complaint unless the summons and complaint have been filed with the court and bear the case number assigned by the court.</w:t>
      </w:r>
    </w:p>
    <w:p>
      <w:pPr>
        <w:spacing w:before="0" w:after="0" w:line="408" w:lineRule="exact"/>
        <w:ind w:left="0" w:right="0" w:firstLine="576"/>
        <w:jc w:val="left"/>
      </w:pPr>
      <w:r>
        <w:rPr/>
        <w:t xml:space="preserve">(28)</w:t>
      </w:r>
      <w:r>
        <w:rPr>
          <w:u w:val="single"/>
        </w:rPr>
        <w:t xml:space="preserve">(a)</w:t>
      </w:r>
      <w:r>
        <w:rPr/>
        <w:t xml:space="preserve"> If the claim involves medical debt: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w:t>
      </w:r>
      <w:r>
        <w:t>((</w:t>
      </w:r>
      <w:r>
        <w:rPr>
          <w:strike/>
        </w:rPr>
        <w:t xml:space="preserve">(b)</w:t>
      </w:r>
      <w:r>
        <w:t>))</w:t>
      </w:r>
      <w:r>
        <w:rPr/>
        <w:t xml:space="preserve"> </w:t>
      </w:r>
      <w:r>
        <w:rPr>
          <w:u w:val="single"/>
        </w:rPr>
        <w:t xml:space="preserve">(a)(ii)</w:t>
      </w:r>
      <w:r>
        <w:rPr/>
        <w:t xml:space="preserve"> of this subsection (28);</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medical creditor;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date, dates, or date range of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services provided to the patient as indicated by the health care provider in a statement provided to the licensee;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amount of principal for any medical debt or debts incurred;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adjustment to the bill, such as negotiated insurance rates or other discounts;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amount of any payments received, whether from the patient or any other party;</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interest or fees;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Report adverse information to consumer credit reporting agencies or credit bureaus </w:t>
      </w:r>
      <w:r>
        <w:t>((</w:t>
      </w:r>
      <w:r>
        <w:rPr>
          <w:strike/>
        </w:rPr>
        <w:t xml:space="preserve">until at least one hundred eighty days after the original obligation was received by the licensee for collection or by assignment</w:t>
      </w:r>
      <w:r>
        <w:t>))</w:t>
      </w:r>
      <w:r>
        <w:rPr/>
        <w:t xml:space="preserve">.</w:t>
      </w:r>
    </w:p>
    <w:p>
      <w:pPr>
        <w:spacing w:before="0" w:after="0" w:line="408" w:lineRule="exact"/>
        <w:ind w:left="0" w:right="0" w:firstLine="576"/>
        <w:jc w:val="left"/>
      </w:pPr>
      <w:r>
        <w:rPr>
          <w:u w:val="single"/>
        </w:rPr>
        <w:t xml:space="preserve">(b) The legislature finds that the practices covered by this subsection are matters vitally affecting the public interest for the purpose of applying the consumer protection act, chapter 19.86 RCW. A violation of this subsection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(29) If the claim involves hospital debt:</w:t>
      </w:r>
    </w:p>
    <w:p>
      <w:pPr>
        <w:spacing w:before="0" w:after="0" w:line="408" w:lineRule="exact"/>
        <w:ind w:left="0" w:right="0" w:firstLine="576"/>
        <w:jc w:val="left"/>
      </w:pPr>
      <w:r>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(f)</w:t>
      </w:r>
      <w:r>
        <w:rPr/>
        <w:t xml:space="preserve">,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Medical debt, as defined in RCW 19.16.100;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t xml:space="preserve"> </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400</w:t>
      </w:r>
      <w:r>
        <w:rPr/>
        <w:t xml:space="preserve"> and 2006 c 60 s 2 are each amended to read as follows:</w:t>
      </w:r>
    </w:p>
    <w:p>
      <w:pPr>
        <w:spacing w:before="0" w:after="0" w:line="408" w:lineRule="exact"/>
        <w:ind w:left="0" w:right="0" w:firstLine="576"/>
        <w:jc w:val="left"/>
      </w:pPr>
      <w:r>
        <w:rPr/>
        <w:t xml:space="preserve">(1) Prior to or upon discharge, a hospital must furnish each patient receiving inpatient services a written statement providing a list of physician groups and other professional partners that commonly provide care for patients at the hospital and from whom the patient may receive a bill, along with contact phone numbers for those groups. The statement must prominently display a phone number that a patient can call for assistance if the patient has any questions about any of the bills they receive after discharge that relate to their hospital stay.</w:t>
      </w:r>
    </w:p>
    <w:p>
      <w:pPr>
        <w:spacing w:before="0" w:after="0" w:line="408" w:lineRule="exact"/>
        <w:ind w:left="0" w:right="0" w:firstLine="576"/>
        <w:jc w:val="left"/>
      </w:pPr>
      <w:r>
        <w:rPr/>
        <w:t xml:space="preserve">(2)</w:t>
      </w:r>
      <w:r>
        <w:rPr>
          <w:u w:val="single"/>
        </w:rPr>
        <w:t xml:space="preserve">(a) Hospitals, physician groups, and other professional partners may not furnish information relating to a medical debt as defined in RCW 19.16.100 to a consumer credit reporting agency. A medical debt is void and unenforceable if a hospital, physician group, or professional partner violates this subsection (2)(a).</w:t>
      </w:r>
    </w:p>
    <w:p>
      <w:pPr>
        <w:spacing w:before="0" w:after="0" w:line="408" w:lineRule="exact"/>
        <w:ind w:left="0" w:right="0" w:firstLine="576"/>
        <w:jc w:val="left"/>
      </w:pPr>
      <w:r>
        <w:rPr>
          <w:u w:val="single"/>
        </w:rPr>
        <w:t xml:space="preserve">(b) A hospital, physician group, or professional partner must provide a statement to the patient which includes the following terms: "The holder of this medical debt is prohibited from furnishing any information related to this debt to a consumer credit reporting agency. In addition to any other penalties allowed by law, if the holder of this debt violates this provision, the debt is void and unenforceable."</w:t>
      </w:r>
    </w:p>
    <w:p>
      <w:pPr>
        <w:spacing w:before="0" w:after="0" w:line="408" w:lineRule="exact"/>
        <w:ind w:left="0" w:right="0" w:firstLine="576"/>
        <w:jc w:val="left"/>
      </w:pPr>
      <w:r>
        <w:rPr>
          <w:u w:val="single"/>
        </w:rPr>
        <w:t xml:space="preserve">(c) A violation of (a) or (b) of this subsection is deemed a violation of the law governing the license of the hospital, physician group, or professional partner.</w:t>
      </w:r>
    </w:p>
    <w:p>
      <w:pPr>
        <w:spacing w:before="0" w:after="0" w:line="408" w:lineRule="exact"/>
        <w:ind w:left="0" w:right="0" w:firstLine="576"/>
        <w:jc w:val="left"/>
      </w:pPr>
      <w:r>
        <w:rPr>
          <w:u w:val="single"/>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(4)</w:t>
      </w:r>
      <w:r>
        <w:rPr/>
        <w:t xml:space="preserve"> This section does not apply to any hospital owned or operated by a health maintenance organization under chapter 48.46 RCW when providing prepaid health care services to enrollees of the health maintenance organization or any of its wholly owned subsidiary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005</w:t>
      </w:r>
      <w:r>
        <w:rPr/>
        <w:t xml:space="preserve"> and 1989 1st ex.s. c 9 s 250 are each amended to read as follows:</w:t>
      </w:r>
    </w:p>
    <w:p>
      <w:pPr>
        <w:spacing w:before="0" w:after="0" w:line="408" w:lineRule="exact"/>
        <w:ind w:left="0" w:right="0" w:firstLine="576"/>
        <w:jc w:val="left"/>
      </w:pPr>
      <w:r>
        <w:rPr/>
        <w:t xml:space="preserve">The powers and duties of the secretary of social and health services under this chapter shall be performed by the secretary of health</w:t>
      </w:r>
      <w:r>
        <w:rPr>
          <w:u w:val="single"/>
        </w:rPr>
        <w:t xml:space="preserve">, except where specified in this chapter</w:t>
      </w:r>
      <w:r>
        <w:rPr/>
        <w:t xml:space="preserve">.</w:t>
      </w:r>
    </w:p>
    <w:p/>
    <w:p>
      <w:pPr>
        <w:jc w:val="center"/>
      </w:pPr>
      <w:r>
        <w:rPr>
          <w:b/>
        </w:rPr>
        <w:t>--- END ---</w:t>
      </w:r>
    </w:p>
    <w:sectPr>
      <w:pgNumType w:start="1"/>
      <w:footerReference xmlns:r="http://schemas.openxmlformats.org/officeDocument/2006/relationships" r:id="R333c3af409e140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ba61b81d3e4e48" /><Relationship Type="http://schemas.openxmlformats.org/officeDocument/2006/relationships/footer" Target="/word/footer1.xml" Id="R333c3af409e140ea" /></Relationships>
</file>