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55512534348d9" /></Relationships>
</file>

<file path=word/document.xml><?xml version="1.0" encoding="utf-8"?>
<w:document xmlns:w="http://schemas.openxmlformats.org/wordprocessingml/2006/main">
  <w:body>
    <w:p>
      <w:r>
        <w:t>S-1287.1</w:t>
      </w:r>
    </w:p>
    <w:p>
      <w:pPr>
        <w:jc w:val="center"/>
      </w:pPr>
      <w:r>
        <w:t>_______________________________________________</w:t>
      </w:r>
    </w:p>
    <w:p/>
    <w:p>
      <w:pPr>
        <w:jc w:val="center"/>
      </w:pPr>
      <w:r>
        <w:rPr>
          <w:b/>
        </w:rPr>
        <w:t>SUBSTITUTE SENATE BILL 5480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Riccelli, Bateman, Alvarado, Chapman, Hasegawa, Lovelett, Nobles, Orwall, Ramos, Robinson, Slatter, Stanford, Trudeau, Valdez, and C. Wilson)</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by removing barriers created by medical debt; amending RCW 19.16.100, 19.182.040, 70.41.400, and 70.54.005; reenacting and amending RCW 19.16.250; and adding a new section to chapter 70.54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2020 c 30 s 1 are each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any obligation for the payment of money or thing of value arising out of any agreement or contract, express or implied.</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 debt buyer as defined in this section;</w:t>
      </w:r>
    </w:p>
    <w:p>
      <w:pPr>
        <w:spacing w:before="0" w:after="0" w:line="408" w:lineRule="exact"/>
        <w:ind w:left="0" w:right="0" w:firstLine="576"/>
        <w:jc w:val="left"/>
      </w:pPr>
      <w:r>
        <w:rPr/>
        <w:t xml:space="preserve">(e) Any person or entity attempting to enforce a lien under chapter 60.44 RCW, other than the person or entity originally entitled to the lien.</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"Debt buyer" means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t xml:space="preserve">(8) "Debtor" means any person owing or alleged to owe a claim.</w:t>
      </w:r>
    </w:p>
    <w:p>
      <w:pPr>
        <w:spacing w:before="0" w:after="0" w:line="408" w:lineRule="exact"/>
        <w:ind w:left="0" w:right="0" w:firstLine="576"/>
        <w:jc w:val="left"/>
      </w:pPr>
      <w:r>
        <w:rPr/>
        <w:t xml:space="preserve">(9) "Director" means the director of licensing.</w:t>
      </w:r>
    </w:p>
    <w:p>
      <w:pPr>
        <w:spacing w:before="0" w:after="0" w:line="408" w:lineRule="exact"/>
        <w:ind w:left="0" w:right="0" w:firstLine="576"/>
        <w:jc w:val="left"/>
      </w:pPr>
      <w:r>
        <w:rPr/>
        <w:t xml:space="preserve">(10) "Licensee" means any person licensed under this chapter.</w:t>
      </w:r>
    </w:p>
    <w:p>
      <w:pPr>
        <w:spacing w:before="0" w:after="0" w:line="408" w:lineRule="exact"/>
        <w:ind w:left="0" w:right="0" w:firstLine="576"/>
        <w:jc w:val="left"/>
      </w:pPr>
      <w:r>
        <w:rPr/>
        <w:t xml:space="preserve">(11) "Medical debt" means any </w:t>
      </w:r>
      <w:r>
        <w:t>((</w:t>
      </w:r>
      <w:r>
        <w:rPr>
          <w:strike/>
        </w:rPr>
        <w:t xml:space="preserve">obligation for the payment of money arising out of any agreement or contract, express or implied, for the provision of health care services as defined in RCW 48.44.010. In the context of "medical debt," "charity care" has the same meaning as provided in RCW 70.170.020.</w:t>
      </w:r>
      <w:r>
        <w:t>))</w:t>
      </w:r>
      <w:r>
        <w:rPr/>
        <w:t xml:space="preserve"> </w:t>
      </w:r>
      <w:r>
        <w:rPr>
          <w:u w:val="single"/>
        </w:rPr>
        <w:t xml:space="preserve">debt owed by a consumer to a person whose primary business is providing medical services, products, or devices, or to the person's agent or assignee, for the provision of medical services, products, or devices. Medical debt includes, but is not limited to, medical bills that are not past due or that have been paid. For the purposes of this subsection, "medical service, product, or device" includes, but is not limited to, any service, drug, medication, product, or device sold, offered, or provided to a patient by a health care provider or health care facility, as defined in RCW 48.43.005, except that it does not include cosmetic surgery. "Cosmetic surgery" shall not include reconstructive surgery when such service is incidental to or follows surgery resulting from trauma, infection, or other diseases of the involved party.</w:t>
      </w:r>
    </w:p>
    <w:p>
      <w:pPr>
        <w:spacing w:before="0" w:after="0" w:line="408" w:lineRule="exact"/>
        <w:ind w:left="0" w:right="0" w:firstLine="576"/>
        <w:jc w:val="left"/>
      </w:pPr>
      <w:r>
        <w:rPr/>
        <w:t xml:space="preserve">(12)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rPr/>
        <w:t xml:space="preserve">(13) "Person" includes individual, firm, partnership, trust, joint venture, association, or corporation.</w:t>
      </w:r>
    </w:p>
    <w:p>
      <w:pPr>
        <w:spacing w:before="0" w:after="0" w:line="408" w:lineRule="exact"/>
        <w:ind w:left="0" w:right="0" w:firstLine="576"/>
        <w:jc w:val="left"/>
      </w:pPr>
      <w:r>
        <w:rPr/>
        <w:t xml:space="preserve">(14) "Statement of account" means a report setting forth only amounts billed, invoices, credits allowed, or aged balance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 medical debt is void and unenforceable if a person, health care provider, health care facility, or licensed collection agency violates this section by furnishing information regarding the medical debt to a consumer credit reporting agency.</w:t>
      </w:r>
    </w:p>
    <w:p>
      <w:pPr>
        <w:spacing w:before="0" w:after="0" w:line="408" w:lineRule="exact"/>
        <w:ind w:left="0" w:right="0" w:firstLine="576"/>
        <w:jc w:val="left"/>
      </w:pPr>
      <w:r>
        <w:rPr/>
        <w:t xml:space="preserve">(2) Any contract creating a medical debt entered into on or after the effective date of this section that does not include the term described in subsection (2) of this section is void and unenforceable.</w:t>
      </w:r>
    </w:p>
    <w:p>
      <w:pPr>
        <w:spacing w:before="0" w:after="0" w:line="408" w:lineRule="exact"/>
        <w:ind w:left="0" w:right="0" w:firstLine="576"/>
        <w:jc w:val="left"/>
      </w:pPr>
      <w:r>
        <w:rPr/>
        <w:t xml:space="preserve">(3)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2019 c 227 s 4 and 2019 c 201 s 2 are each reenacted and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Except as provided in subsection (28)</w:t>
      </w:r>
      <w:r>
        <w:t>((</w:t>
      </w:r>
      <w:r>
        <w:rPr>
          <w:strike/>
        </w:rPr>
        <w:t xml:space="preserve">(c)</w:t>
      </w:r>
      <w:r>
        <w:t>))</w:t>
      </w:r>
      <w:r>
        <w:rPr/>
        <w:t xml:space="preserve"> </w:t>
      </w:r>
      <w:r>
        <w:rPr>
          <w:u w:val="single"/>
        </w:rPr>
        <w:t xml:space="preserve">(a)(iii)</w:t>
      </w:r>
      <w:r>
        <w:rPr/>
        <w:t xml:space="preserve"> of this section,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Bring an action or initiate an arbitration proceeding on a claim for any amounts related to a transfer of sale of a vehicle when:</w:t>
      </w:r>
    </w:p>
    <w:p>
      <w:pPr>
        <w:spacing w:before="0" w:after="0" w:line="408" w:lineRule="exact"/>
        <w:ind w:left="0" w:right="0" w:firstLine="576"/>
        <w:jc w:val="left"/>
      </w:pPr>
      <w:r>
        <w:rPr/>
        <w:t xml:space="preserve">(a) The licensee has been informed or reasonably should know that the department of licensing transfer of sale form was filed in accordance with RCW 46.12.650 (1) through (3);</w:t>
      </w:r>
    </w:p>
    <w:p>
      <w:pPr>
        <w:spacing w:before="0" w:after="0" w:line="408" w:lineRule="exact"/>
        <w:ind w:left="0" w:right="0" w:firstLine="576"/>
        <w:jc w:val="left"/>
      </w:pPr>
      <w:r>
        <w:rPr/>
        <w:t xml:space="preserve">(b) The licensee has been informed or reasonably should know that the transfer of the vehicle either (i) was not made pursuant to a legal transfer or (ii) was not voluntarily accepted by the person designated as the purchaser/transferee; and</w:t>
      </w:r>
    </w:p>
    <w:p>
      <w:pPr>
        <w:spacing w:before="0" w:after="0" w:line="408" w:lineRule="exact"/>
        <w:ind w:left="0" w:right="0" w:firstLine="576"/>
        <w:jc w:val="left"/>
      </w:pPr>
      <w:r>
        <w:rPr/>
        <w:t xml:space="preserve">(c) Prior to the commencement of the action or arbitration, the licensee has received from the putative transferee a copy of a police report referencing that the transfer of sale of the vehicle either (i) was not made pursuant to a legal transfer or (ii) was not voluntarily accepted by the person designated as the purchaser/transferee.</w:t>
      </w:r>
    </w:p>
    <w:p>
      <w:pPr>
        <w:spacing w:before="0" w:after="0" w:line="408" w:lineRule="exact"/>
        <w:ind w:left="0" w:right="0" w:firstLine="576"/>
        <w:jc w:val="left"/>
      </w:pPr>
      <w:r>
        <w:rPr/>
        <w:t xml:space="preserve">(26) Submit an affidavit or other request pursuant to chapter 6.32 RCW asking a superior or district court to transfer a bond posted by a debtor subject to a money judgment to the licensee, when the debtor has appeared as required.</w:t>
      </w:r>
    </w:p>
    <w:p>
      <w:pPr>
        <w:spacing w:before="0" w:after="0" w:line="408" w:lineRule="exact"/>
        <w:ind w:left="0" w:right="0" w:firstLine="576"/>
        <w:jc w:val="left"/>
      </w:pPr>
      <w:r>
        <w:rPr/>
        <w:t xml:space="preserve">(27) Serve a debtor with a summons and complaint unless the summons and complaint have been filed with the court and bear the case number assigned by the court.</w:t>
      </w:r>
    </w:p>
    <w:p>
      <w:pPr>
        <w:spacing w:before="0" w:after="0" w:line="408" w:lineRule="exact"/>
        <w:ind w:left="0" w:right="0" w:firstLine="576"/>
        <w:jc w:val="left"/>
      </w:pPr>
      <w:r>
        <w:rPr/>
        <w:t xml:space="preserve">(28)</w:t>
      </w:r>
      <w:r>
        <w:rPr>
          <w:u w:val="single"/>
        </w:rPr>
        <w:t xml:space="preserve">(a)</w:t>
      </w:r>
      <w:r>
        <w:rPr/>
        <w:t xml:space="preserve"> If the claim involves medical debt: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Fail to include, with the first written notice to the debtor, a statement that informs the debtor of the debtor's right to request the original account number or redacted original account number assigned to the debt, the date of the last payment, and an itemized statement as provided in </w:t>
      </w:r>
      <w:r>
        <w:t>((</w:t>
      </w:r>
      <w:r>
        <w:rPr>
          <w:strike/>
        </w:rPr>
        <w:t xml:space="preserve">(b)</w:t>
      </w:r>
      <w:r>
        <w:t>))</w:t>
      </w:r>
      <w:r>
        <w:rPr/>
        <w:t xml:space="preserve"> </w:t>
      </w:r>
      <w:r>
        <w:rPr>
          <w:u w:val="single"/>
        </w:rPr>
        <w:t xml:space="preserve">(a)(ii)</w:t>
      </w:r>
      <w:r>
        <w:rPr/>
        <w:t xml:space="preserve"> of this subsection (28);</w:t>
      </w:r>
    </w:p>
    <w:p>
      <w:pPr>
        <w:spacing w:before="0" w:after="0" w:line="408" w:lineRule="exact"/>
        <w:ind w:left="0" w:right="0" w:firstLine="576"/>
        <w:jc w:val="left"/>
      </w:pPr>
      <w:r>
        <w:t>((</w:t>
      </w:r>
      <w:r>
        <w:rPr>
          <w:strike/>
        </w:rPr>
        <w:t xml:space="preserve">(b)(i)</w:t>
      </w:r>
      <w:r>
        <w:t>))</w:t>
      </w:r>
      <w:r>
        <w:rPr/>
        <w:t xml:space="preserve"> </w:t>
      </w:r>
      <w:r>
        <w:rPr>
          <w:u w:val="single"/>
        </w:rPr>
        <w:t xml:space="preserve">(ii)(A)</w:t>
      </w:r>
      <w:r>
        <w:rPr/>
        <w:t xml:space="preserve"> Fail to provide to the debtor, upon written or oral request by the debtor for more information than is contained in a general balance due letter, an itemized statement free of charge. Unless and until the licensee provides the itemized statement, the licensee must cease all collection efforts. The itemized statement must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name and address of the medical creditor;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date, dates, or date range of service;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health care services provided to the patient as indicated by the health care provider in a statement provided to the licensee;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amount of principal for any medical debt or debts incurred;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adjustment to the bill, such as negotiated insurance rates or other discounts;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The amount of any payments received, whether from the patient or any other party;</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Any interest or fees; and</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Whether the patient was found eligible for charity care or other reductions and, if so, the amount due after all charity care and other reductions have been applied to the itemized statement;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In the event the debtor has entered into a voluntary payment agreement, the debtor shall give notice if he or she wants the payment plan discontinued. If no notice is given, the payment arrangement may continue.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Properly executed postjudgment writs, including writs of garnishment and execution, are not required to be ceased and second or subsequent requests for information already provided do not require the cessation of collection efforts;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Report adverse information to consumer credit reporting agencies or credit bureaus </w:t>
      </w:r>
      <w:r>
        <w:t>((</w:t>
      </w:r>
      <w:r>
        <w:rPr>
          <w:strike/>
        </w:rPr>
        <w:t xml:space="preserve">until at least one hundred eighty days after the original obligation was received by the licensee for collection or by assignment</w:t>
      </w:r>
      <w:r>
        <w:t>))</w:t>
      </w:r>
      <w:r>
        <w:rPr/>
        <w:t xml:space="preserve">.</w:t>
      </w:r>
    </w:p>
    <w:p>
      <w:pPr>
        <w:spacing w:before="0" w:after="0" w:line="408" w:lineRule="exact"/>
        <w:ind w:left="0" w:right="0" w:firstLine="576"/>
        <w:jc w:val="left"/>
      </w:pPr>
      <w:r>
        <w:rPr>
          <w:u w:val="single"/>
        </w:rPr>
        <w:t xml:space="preserve">(b) The legislature finds that the practices covered by this subsection are matters vitally affecting the public interest for the purpose of applying the consumer protection act, chapter 19.86 RCW. A violation of this subsection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(29) If the claim involves hospital debt:</w:t>
      </w:r>
    </w:p>
    <w:p>
      <w:pPr>
        <w:spacing w:before="0" w:after="0" w:line="408" w:lineRule="exact"/>
        <w:ind w:left="0" w:right="0" w:firstLine="576"/>
        <w:jc w:val="left"/>
      </w:pPr>
      <w:r>
        <w:rPr/>
        <w:t xml:space="preserve">(a) Fail to include, with the first written notice to the debtor, a notice that the debtor may be eligible for charity care from the hospital, together with the contact information for the hospital;</w:t>
      </w:r>
    </w:p>
    <w:p>
      <w:pPr>
        <w:spacing w:before="0" w:after="0" w:line="408" w:lineRule="exact"/>
        <w:ind w:left="0" w:right="0" w:firstLine="576"/>
        <w:jc w:val="left"/>
      </w:pPr>
      <w:r>
        <w:rPr/>
        <w:t xml:space="preserve">(b) Collect or attempt to collect a claim related to hospital debt during the pendency of an application for charity care sponsorship or an appeal from a final determination of charity care sponsorship status. However, this prohibition is only applicable if the licensee has received notice of the pendency of the application or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040</w:t>
      </w:r>
      <w:r>
        <w:rPr/>
        <w:t xml:space="preserve"> and 2011 c 333 s 2 are each amended to read as follows:</w:t>
      </w:r>
    </w:p>
    <w:p>
      <w:pPr>
        <w:spacing w:before="0" w:after="0" w:line="408" w:lineRule="exact"/>
        <w:ind w:left="0" w:right="0" w:firstLine="576"/>
        <w:jc w:val="left"/>
      </w:pPr>
      <w:r>
        <w:rPr/>
        <w:t xml:space="preserve">(1) Except as authorized under subsection (2) of this section, no consumer reporting agency may make a consumer report containing any of the following items of information:</w:t>
      </w:r>
    </w:p>
    <w:p>
      <w:pPr>
        <w:spacing w:before="0" w:after="0" w:line="408" w:lineRule="exact"/>
        <w:ind w:left="0" w:right="0" w:firstLine="576"/>
        <w:jc w:val="left"/>
      </w:pPr>
      <w:r>
        <w:rPr/>
        <w:t xml:space="preserve">(a) Bankruptcies that, from date of adjudication of the most recent bankruptcy, antedate the report by more than ten years;</w:t>
      </w:r>
    </w:p>
    <w:p>
      <w:pPr>
        <w:spacing w:before="0" w:after="0" w:line="408" w:lineRule="exact"/>
        <w:ind w:left="0" w:right="0" w:firstLine="576"/>
        <w:jc w:val="left"/>
      </w:pPr>
      <w:r>
        <w:rPr/>
        <w:t xml:space="preserve">(b) Suits and judgments that, from date of entry, antedate the report by more than seven years or until the governing statute of limitations has expired, whichever is the longer period;</w:t>
      </w:r>
    </w:p>
    <w:p>
      <w:pPr>
        <w:spacing w:before="0" w:after="0" w:line="408" w:lineRule="exact"/>
        <w:ind w:left="0" w:right="0" w:firstLine="576"/>
        <w:jc w:val="left"/>
      </w:pPr>
      <w:r>
        <w:rPr/>
        <w:t xml:space="preserve">(c) Paid tax liens that, from date of payment, antedate the report by more than seven years;</w:t>
      </w:r>
    </w:p>
    <w:p>
      <w:pPr>
        <w:spacing w:before="0" w:after="0" w:line="408" w:lineRule="exact"/>
        <w:ind w:left="0" w:right="0" w:firstLine="576"/>
        <w:jc w:val="left"/>
      </w:pPr>
      <w:r>
        <w:rPr/>
        <w:t xml:space="preserve">(d) Accounts placed for collection or charged to profit and loss that antedate the report by more than seven years;</w:t>
      </w:r>
    </w:p>
    <w:p>
      <w:pPr>
        <w:spacing w:before="0" w:after="0" w:line="408" w:lineRule="exact"/>
        <w:ind w:left="0" w:right="0" w:firstLine="576"/>
        <w:jc w:val="left"/>
      </w:pPr>
      <w:r>
        <w:rPr/>
        <w:t xml:space="preserve">(e) Records of arrest, indictment, or conviction of an adult for a crime that, from date of disposition, release, or parole, antedate the report by more than seven years;</w:t>
      </w:r>
    </w:p>
    <w:p>
      <w:pPr>
        <w:spacing w:before="0" w:after="0" w:line="408" w:lineRule="exact"/>
        <w:ind w:left="0" w:right="0" w:firstLine="576"/>
        <w:jc w:val="left"/>
      </w:pPr>
      <w:r>
        <w:rPr/>
        <w:t xml:space="preserve">(f) Juvenile records, as defined in RCW 13.50.010(1)</w:t>
      </w:r>
      <w:r>
        <w:t>((</w:t>
      </w:r>
      <w:r>
        <w:rPr>
          <w:strike/>
        </w:rPr>
        <w:t xml:space="preserve">(c)</w:t>
      </w:r>
      <w:r>
        <w:t>))</w:t>
      </w:r>
      <w:r>
        <w:rPr/>
        <w:t xml:space="preserve"> </w:t>
      </w:r>
      <w:r>
        <w:rPr>
          <w:u w:val="single"/>
        </w:rPr>
        <w:t xml:space="preserve">(f)</w:t>
      </w:r>
      <w:r>
        <w:rPr/>
        <w:t xml:space="preserve">, when the subject of the records is twenty-one years of age or older at the time of the report; </w:t>
      </w:r>
      <w:r>
        <w:t>((</w:t>
      </w:r>
      <w:r>
        <w:rPr>
          <w:strike/>
        </w:rPr>
        <w:t xml:space="preserve">and</w:t>
      </w:r>
      <w:r>
        <w:t>))</w:t>
      </w:r>
    </w:p>
    <w:p>
      <w:pPr>
        <w:spacing w:before="0" w:after="0" w:line="408" w:lineRule="exact"/>
        <w:ind w:left="0" w:right="0" w:firstLine="576"/>
        <w:jc w:val="left"/>
      </w:pPr>
      <w:r>
        <w:rPr/>
        <w:t xml:space="preserve">(g) </w:t>
      </w:r>
      <w:r>
        <w:rPr>
          <w:u w:val="single"/>
        </w:rPr>
        <w:t xml:space="preserve">Medical debt, as defined in RCW 19.16.100; and</w:t>
      </w:r>
    </w:p>
    <w:p>
      <w:pPr>
        <w:spacing w:before="0" w:after="0" w:line="408" w:lineRule="exact"/>
        <w:ind w:left="0" w:right="0" w:firstLine="576"/>
        <w:jc w:val="left"/>
      </w:pPr>
      <w:r>
        <w:rPr>
          <w:u w:val="single"/>
        </w:rPr>
        <w:t xml:space="preserve">(h)</w:t>
      </w:r>
      <w:r>
        <w:rPr/>
        <w:t xml:space="preserve"> Any other adverse item of information that antedates the report by more than seven years.</w:t>
      </w:r>
    </w:p>
    <w:p>
      <w:pPr>
        <w:spacing w:before="0" w:after="0" w:line="408" w:lineRule="exact"/>
        <w:ind w:left="0" w:right="0" w:firstLine="576"/>
        <w:jc w:val="left"/>
      </w:pPr>
      <w:r>
        <w:rPr/>
        <w:t xml:space="preserve">(2) Subsection (1)(a) through (e) and </w:t>
      </w:r>
      <w:r>
        <w:t>((</w:t>
      </w:r>
      <w:r>
        <w:rPr>
          <w:strike/>
        </w:rPr>
        <w:t xml:space="preserve">(g)</w:t>
      </w:r>
      <w:r>
        <w:t>))</w:t>
      </w:r>
      <w:r>
        <w:rPr/>
        <w:t xml:space="preserve"> </w:t>
      </w:r>
      <w:r>
        <w:rPr>
          <w:u w:val="single"/>
        </w:rPr>
        <w:t xml:space="preserve">(h)</w:t>
      </w:r>
      <w:r>
        <w:rPr/>
        <w:t xml:space="preserve"> of this section is not applicable in the case of a consumer report to be used in connection with:</w:t>
      </w:r>
    </w:p>
    <w:p>
      <w:pPr>
        <w:spacing w:before="0" w:after="0" w:line="408" w:lineRule="exact"/>
        <w:ind w:left="0" w:right="0" w:firstLine="576"/>
        <w:jc w:val="left"/>
      </w:pPr>
      <w:r>
        <w:rPr/>
        <w:t xml:space="preserve">(a) A credit transaction involving, or that may reasonably be expected to involve, a principal amount of fifty thousand dollars or more;</w:t>
      </w:r>
    </w:p>
    <w:p>
      <w:pPr>
        <w:spacing w:before="0" w:after="0" w:line="408" w:lineRule="exact"/>
        <w:ind w:left="0" w:right="0" w:firstLine="576"/>
        <w:jc w:val="left"/>
      </w:pPr>
      <w:r>
        <w:rPr/>
        <w:t xml:space="preserve">(b) The underwriting of life insurance involving, or that may reasonably be expected to involve, a face amount of fifty thousand dollars or more; or</w:t>
      </w:r>
    </w:p>
    <w:p>
      <w:pPr>
        <w:spacing w:before="0" w:after="0" w:line="408" w:lineRule="exact"/>
        <w:ind w:left="0" w:right="0" w:firstLine="576"/>
        <w:jc w:val="left"/>
      </w:pPr>
      <w:r>
        <w:rPr/>
        <w:t xml:space="preserve">(c) The employment of an individual at an annual salary that equals, or that may reasonably be expected to equal, twenty thousand dollars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400</w:t>
      </w:r>
      <w:r>
        <w:rPr/>
        <w:t xml:space="preserve"> and 2006 c 60 s 2 are each amended to read as follows:</w:t>
      </w:r>
    </w:p>
    <w:p>
      <w:pPr>
        <w:spacing w:before="0" w:after="0" w:line="408" w:lineRule="exact"/>
        <w:ind w:left="0" w:right="0" w:firstLine="576"/>
        <w:jc w:val="left"/>
      </w:pPr>
      <w:r>
        <w:rPr/>
        <w:t xml:space="preserve">(1) Prior to or upon discharge, a hospital must furnish each patient receiving inpatient services a written statement providing a list of physician groups and other professional partners that commonly provide care for patients at the hospital and from whom the patient may receive a bill, along with contact phone numbers for those groups. The statement must prominently display a phone number that a patient can call for assistance if the patient has any questions about any of the bills they receive after discharge that relate to their hospital stay.</w:t>
      </w:r>
    </w:p>
    <w:p>
      <w:pPr>
        <w:spacing w:before="0" w:after="0" w:line="408" w:lineRule="exact"/>
        <w:ind w:left="0" w:right="0" w:firstLine="576"/>
        <w:jc w:val="left"/>
      </w:pPr>
      <w:r>
        <w:rPr/>
        <w:t xml:space="preserve">(2)</w:t>
      </w:r>
      <w:r>
        <w:rPr>
          <w:u w:val="single"/>
        </w:rPr>
        <w:t xml:space="preserve">(a) Hospitals, physician groups, and other professional partners may not furnish information relating to a medical debt as defined in RCW 19.16.100 to a consumer credit reporting agency. A medical debt is void and unenforceable if a hospital, physician group, or professional partner violates this subsection (2)(a).</w:t>
      </w:r>
    </w:p>
    <w:p>
      <w:pPr>
        <w:spacing w:before="0" w:after="0" w:line="408" w:lineRule="exact"/>
        <w:ind w:left="0" w:right="0" w:firstLine="576"/>
        <w:jc w:val="left"/>
      </w:pPr>
      <w:r>
        <w:rPr>
          <w:u w:val="single"/>
        </w:rPr>
        <w:t xml:space="preserve">(b) A violation of (a) of this subsection is deemed a violation of the law governing the license of the hospital, physician group, or professional partner.</w:t>
      </w:r>
    </w:p>
    <w:p>
      <w:pPr>
        <w:spacing w:before="0" w:after="0" w:line="408" w:lineRule="exact"/>
        <w:ind w:left="0" w:right="0" w:firstLine="576"/>
        <w:jc w:val="left"/>
      </w:pPr>
      <w:r>
        <w:rPr>
          <w:u w:val="single"/>
        </w:rPr>
        <w:t xml:space="preserve">(3)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u w:val="single"/>
        </w:rPr>
        <w:t xml:space="preserve">(4)</w:t>
      </w:r>
      <w:r>
        <w:rPr/>
        <w:t xml:space="preserve"> This section does not apply to any hospital owned or operated by a health maintenance organization under chapter 48.46 RCW when providing prepaid health care services to enrollees of the health maintenance organization or any of its wholly owned subsidiary carriers.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005</w:t>
      </w:r>
      <w:r>
        <w:rPr/>
        <w:t xml:space="preserve"> and 1989 1st ex.s. c 9 s 250 are each amended to read as follows:</w:t>
      </w:r>
    </w:p>
    <w:p>
      <w:pPr>
        <w:spacing w:before="0" w:after="0" w:line="408" w:lineRule="exact"/>
        <w:ind w:left="0" w:right="0" w:firstLine="576"/>
        <w:jc w:val="left"/>
      </w:pPr>
      <w:r>
        <w:rPr/>
        <w:t xml:space="preserve">The powers and duties of the secretary of social and health services under this chapter shall be performed by the secretary of health</w:t>
      </w:r>
      <w:r>
        <w:rPr>
          <w:u w:val="single"/>
        </w:rPr>
        <w:t xml:space="preserve">, except where specified in this chapter</w:t>
      </w:r>
      <w:r>
        <w:rPr/>
        <w:t xml:space="preserve">.</w:t>
      </w:r>
    </w:p>
    <w:p/>
    <w:p>
      <w:pPr>
        <w:jc w:val="center"/>
      </w:pPr>
      <w:r>
        <w:rPr>
          <w:b/>
        </w:rPr>
        <w:t>--- END ---</w:t>
      </w:r>
    </w:p>
    <w:sectPr>
      <w:pgNumType w:start="1"/>
      <w:footerReference xmlns:r="http://schemas.openxmlformats.org/officeDocument/2006/relationships" r:id="R79f129917a0d43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653a6bef7949bd" /><Relationship Type="http://schemas.openxmlformats.org/officeDocument/2006/relationships/footer" Target="/word/footer1.xml" Id="R79f129917a0d4353" /></Relationships>
</file>