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b46ae0bdc54a51" /></Relationships>
</file>

<file path=word/document.xml><?xml version="1.0" encoding="utf-8"?>
<w:document xmlns:w="http://schemas.openxmlformats.org/wordprocessingml/2006/main">
  <w:body>
    <w:p>
      <w:r>
        <w:t>S-0651.1</w:t>
      </w:r>
    </w:p>
    <w:p>
      <w:pPr>
        <w:jc w:val="center"/>
      </w:pPr>
      <w:r>
        <w:t>_______________________________________________</w:t>
      </w:r>
    </w:p>
    <w:p/>
    <w:p>
      <w:pPr>
        <w:jc w:val="center"/>
      </w:pPr>
      <w:r>
        <w:rPr>
          <w:b/>
        </w:rPr>
        <w:t>SENATE BILL 5411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Riccelli, Cortes, Harris, Saldaña, and Shewmake</w:t>
      </w:r>
    </w:p>
    <w:p/>
    <w:p>
      <w:r>
        <w:rPr>
          <w:t xml:space="preserve">Read first time 01/22/25.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 treatment of pilates studios and gymnastics facilities; reenacting and amending RCW 82.04.050;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w:t>
      </w:r>
      <w:r>
        <w:rPr>
          <w:u w:val="single"/>
        </w:rPr>
        <w:t xml:space="preserve">pilates, gymnastics,</w:t>
      </w:r>
      <w:r>
        <w:rPr/>
        <w:t xml:space="preserve"> or martial arts classes, training, </w:t>
      </w:r>
      <w:r>
        <w:t>((</w:t>
      </w:r>
      <w:r>
        <w:rPr>
          <w:strike/>
        </w:rPr>
        <w:t xml:space="preserve">or</w:t>
      </w:r>
      <w:r>
        <w:t>))</w:t>
      </w:r>
      <w:r>
        <w:rPr/>
        <w:t xml:space="preserve"> events</w:t>
      </w:r>
      <w:r>
        <w:rPr>
          <w:u w:val="single"/>
        </w:rPr>
        <w:t xml:space="preserve">, or any other associated services</w:t>
      </w:r>
      <w:r>
        <w:rPr/>
        <w:t xml:space="preserve">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w:t>
      </w:r>
      <w:r>
        <w:t>((</w:t>
      </w:r>
      <w:r>
        <w:rPr>
          <w:strike/>
        </w:rPr>
        <w:t xml:space="preserve">pilates equipment,</w:t>
      </w:r>
      <w:r>
        <w:t>))</w:t>
      </w:r>
      <w:r>
        <w:rPr/>
        <w:t xml:space="preserve">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c82377f5598b44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a80cece644c13" /><Relationship Type="http://schemas.openxmlformats.org/officeDocument/2006/relationships/footer" Target="/word/footer1.xml" Id="Rc82377f5598b44c4" /></Relationships>
</file>