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85ddc555a24047" /></Relationships>
</file>

<file path=word/document.xml><?xml version="1.0" encoding="utf-8"?>
<w:document xmlns:w="http://schemas.openxmlformats.org/wordprocessingml/2006/main">
  <w:body>
    <w:p>
      <w:r>
        <w:t>Z-0210.1</w:t>
      </w:r>
    </w:p>
    <w:p>
      <w:pPr>
        <w:jc w:val="center"/>
      </w:pPr>
      <w:r>
        <w:t>_______________________________________________</w:t>
      </w:r>
    </w:p>
    <w:p/>
    <w:p>
      <w:pPr>
        <w:jc w:val="center"/>
      </w:pPr>
      <w:r>
        <w:rPr>
          <w:b/>
        </w:rPr>
        <w:t>SENATE BILL 5407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Robinson, and Nobles; by request of Office of Financial Management</w:t>
      </w:r>
    </w:p>
    <w:p/>
    <w:p>
      <w:r>
        <w:rPr>
          <w:t xml:space="preserve">Read first time 01/21/25.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the rebasing of the nursing home payment rates to 2028; and amending RCW 74.46.561.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2023 c 475 s 942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(3)(a) The direct care component must include the direct care and therapy care components of the previous system, along with food, laundry, and dietary services. Except as provided in (b) of this subsection, direct care must be paid at a fixed rate, based on one hundred percent or greater of statewide case mix neutral median costs, but shall be capped so that a nursing home provider's direct care rate does not exceed 118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Unless a nursing home provider is below the minimum staffing standard established in RCW 74.42.360(2), a provider's direct care rate relative to its base year's direct care allowable costs must be capped as follows:</w:t>
      </w:r>
    </w:p>
    <w:p>
      <w:pPr>
        <w:spacing w:before="0" w:after="0" w:line="408" w:lineRule="exact"/>
        <w:ind w:left="0" w:right="0" w:firstLine="576"/>
        <w:jc w:val="left"/>
      </w:pPr>
      <w:r>
        <w:rPr/>
        <w:t xml:space="preserve">(i) For fiscal year 2023, the cap must not exceed 165 percent;</w:t>
      </w:r>
    </w:p>
    <w:p>
      <w:pPr>
        <w:spacing w:before="0" w:after="0" w:line="408" w:lineRule="exact"/>
        <w:ind w:left="0" w:right="0" w:firstLine="576"/>
        <w:jc w:val="left"/>
      </w:pPr>
      <w:r>
        <w:rPr/>
        <w:t xml:space="preserve">(ii) For fiscal year 2024, the cap must not exceed 153 percent; and</w:t>
      </w:r>
    </w:p>
    <w:p>
      <w:pPr>
        <w:spacing w:before="0" w:after="0" w:line="408" w:lineRule="exact"/>
        <w:ind w:left="0" w:right="0" w:firstLine="576"/>
        <w:jc w:val="left"/>
      </w:pPr>
      <w:r>
        <w:rPr/>
        <w:t xml:space="preserve">(iii) For fiscal year 2025, the cap must not exceed 142 percent.</w:t>
      </w:r>
    </w:p>
    <w:p>
      <w:pPr>
        <w:spacing w:before="0" w:after="0" w:line="408" w:lineRule="exact"/>
        <w:ind w:left="0" w:right="0" w:firstLine="576"/>
        <w:jc w:val="left"/>
      </w:pPr>
      <w:r>
        <w:rPr/>
        <w:t xml:space="preserve">(4)(a) The indirect care component must include the elements of administrative expenses, maintenance costs, and housekeeping services from the previous system. Except as provided in (b) of this subsection,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A minimum occupancy assumption must be applied to indirect care as follows:</w:t>
      </w:r>
    </w:p>
    <w:p>
      <w:pPr>
        <w:spacing w:before="0" w:after="0" w:line="408" w:lineRule="exact"/>
        <w:ind w:left="0" w:right="0" w:firstLine="576"/>
        <w:jc w:val="left"/>
      </w:pPr>
      <w:r>
        <w:rPr/>
        <w:t xml:space="preserve">(i) For fiscal year 2023, the assumption must be 75 percent;</w:t>
      </w:r>
    </w:p>
    <w:p>
      <w:pPr>
        <w:spacing w:before="0" w:after="0" w:line="408" w:lineRule="exact"/>
        <w:ind w:left="0" w:right="0" w:firstLine="576"/>
        <w:jc w:val="left"/>
      </w:pPr>
      <w:r>
        <w:rPr/>
        <w:t xml:space="preserve">(ii) For fiscal year 2024, the assumption must be 80 percent; and</w:t>
      </w:r>
    </w:p>
    <w:p>
      <w:pPr>
        <w:spacing w:before="0" w:after="0" w:line="408" w:lineRule="exact"/>
        <w:ind w:left="0" w:right="0" w:firstLine="576"/>
        <w:jc w:val="left"/>
      </w:pPr>
      <w:r>
        <w:rPr/>
        <w:t xml:space="preserve">(iii) For fiscal year 2025, the assumption must be 80 percent.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w:t>
      </w:r>
      <w:r>
        <w:t>((</w:t>
      </w:r>
      <w:r>
        <w:rPr>
          <w:strike/>
        </w:rPr>
        <w:t xml:space="preserve">The</w:t>
      </w:r>
      <w:r>
        <w:t>))</w:t>
      </w:r>
      <w:r>
        <w:rPr/>
        <w:t xml:space="preserve"> </w:t>
      </w:r>
      <w:r>
        <w:rPr>
          <w:u w:val="single"/>
        </w:rPr>
        <w:t xml:space="preserve">Except as provided in (c) of this subsection, the</w:t>
      </w:r>
      <w:r>
        <w:rPr/>
        <w:t xml:space="preserv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 For fiscal year 2024, the direct care and indirect care components shall be rebased to the 2021 calendar year cost report plus a 4.7 percent adjustment for inflation. For fiscal year 2025, the direct and indirect care components shall be rebased to the 2022 calendar year cost report plus a five percent adjustment for inflation.</w:t>
      </w:r>
    </w:p>
    <w:p>
      <w:pPr>
        <w:spacing w:before="0" w:after="0" w:line="408" w:lineRule="exact"/>
        <w:ind w:left="0" w:right="0" w:firstLine="576"/>
        <w:jc w:val="left"/>
      </w:pPr>
      <w:r>
        <w:rPr/>
        <w:t xml:space="preserve">(c) </w:t>
      </w:r>
      <w:r>
        <w:t>((</w:t>
      </w:r>
      <w:r>
        <w:rPr>
          <w:strike/>
        </w:rPr>
        <w:t xml:space="preserve">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r>
        <w:t>))</w:t>
      </w:r>
      <w:r>
        <w:rPr/>
        <w:t xml:space="preserve"> </w:t>
      </w:r>
      <w:r>
        <w:rPr>
          <w:u w:val="single"/>
        </w:rPr>
        <w:t xml:space="preserve">The direct and indirect care rates calculations in fiscal year 2027 using the calendar year 2025 cost reports shall go into effect the following fiscal biennium, beginning in fiscal year 2028. The 2024 direct and indirect care rates and the one-time rate add on in the 2025-2027 fiscal biennium shall remain in effect until fiscal year 2028.</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0" w:after="0" w:line="408" w:lineRule="exact"/>
        <w:ind w:left="0" w:right="0" w:firstLine="576"/>
        <w:jc w:val="left"/>
      </w:pPr>
      <w:r>
        <w:rPr/>
        <w:t xml:space="preserve">(11) It is the intent of the legislature that a rate add-on be applied to the weighted average nursing facility payment rate referenced in the omnibus operating appropriations act in an amount necessary to ensure that the weighted average nursing facility payment rate for fiscal year 2026 is equal to the weighted average nursing facility payment rate for fiscal year 2025.</w:t>
      </w:r>
    </w:p>
    <w:p/>
    <w:p>
      <w:pPr>
        <w:jc w:val="center"/>
      </w:pPr>
      <w:r>
        <w:rPr>
          <w:b/>
        </w:rPr>
        <w:t>--- END ---</w:t>
      </w:r>
    </w:p>
    <w:sectPr>
      <w:pgNumType w:start="1"/>
      <w:footerReference xmlns:r="http://schemas.openxmlformats.org/officeDocument/2006/relationships" r:id="R66582fa111bc4d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d999f1af34856" /><Relationship Type="http://schemas.openxmlformats.org/officeDocument/2006/relationships/footer" Target="/word/footer1.xml" Id="R66582fa111bc4d19" /></Relationships>
</file>