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b947dfe29f4fb4" /></Relationships>
</file>

<file path=word/document.xml><?xml version="1.0" encoding="utf-8"?>
<w:document xmlns:w="http://schemas.openxmlformats.org/wordprocessingml/2006/main">
  <w:body>
    <w:p>
      <w:r>
        <w:t>S-0652.1</w:t>
      </w:r>
    </w:p>
    <w:p>
      <w:pPr>
        <w:jc w:val="center"/>
      </w:pPr>
      <w:r>
        <w:t>_______________________________________________</w:t>
      </w:r>
    </w:p>
    <w:p/>
    <w:p>
      <w:pPr>
        <w:jc w:val="center"/>
      </w:pPr>
      <w:r>
        <w:rPr>
          <w:b/>
        </w:rPr>
        <w:t>SENATE BILL 5401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Boehnke, and Nobles</w:t>
      </w:r>
    </w:p>
    <w:p/>
    <w:p>
      <w:r>
        <w:rPr>
          <w:t xml:space="preserve">Read first time 01/21/25.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power purchases by electric utilities under the Washington clean energy transformation act; and amending RCW 19.405.020 and 19.405.030.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020</w:t>
      </w:r>
      <w:r>
        <w:rPr/>
        <w:t xml:space="preserve"> and 2024 c 83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RCW 19.405.090(2).</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70A.45.010.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w:t>
      </w:r>
      <w:r>
        <w:t>((</w:t>
      </w:r>
      <w:r>
        <w:rPr>
          <w:strike/>
        </w:rPr>
        <w:t xml:space="preserve">, not to exceed one month,</w:t>
      </w:r>
      <w:r>
        <w:t>))</w:t>
      </w:r>
      <w:r>
        <w:rPr/>
        <w:t xml:space="preserve"> made by an electric utility for delivery to retail electric customers that are located in this state for which the source of the power is not known at the time of entry into the transaction to procure the electricity</w:t>
      </w:r>
      <w:r>
        <w:rPr>
          <w:u w:val="single"/>
        </w:rPr>
        <w:t xml:space="preserve">, where the purchase is either: (A) For a contract duration not to exceed three months; or (B) a purchase of system sales for a contract duration not to exceed six months, provided that the purchase is necessary to meet the electric utility's seasonal resource adequacy requirements under a regional resource adequacy program</w:t>
      </w:r>
      <w:r>
        <w:rPr/>
        <w:t xml:space="preserve">.</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u w:val="single"/>
        </w:rPr>
        <w:t xml:space="preserve">(iii) "Coal-fired resource" does not include electricity purchased from the Bonneville power administration under a long-term power purchase agreement or exchange agreement, except for any portion of the federal system supplied by a transaction to procure electricity where, at the time the Bonneville power administration entered into the transaction, the source of the electricity was known to be from a coal-fired generating unit.</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May 7, 2019;</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70A.45.010.</w:t>
      </w:r>
    </w:p>
    <w:p>
      <w:pPr>
        <w:spacing w:before="0" w:after="0" w:line="408" w:lineRule="exact"/>
        <w:ind w:left="0" w:right="0" w:firstLine="576"/>
        <w:jc w:val="left"/>
      </w:pPr>
      <w:r>
        <w:rPr/>
        <w:t xml:space="preserve">(22) "Highly impacted community" means a community designated by the department of health based on cumulative impact analyses in RCW 19.405.140 or a community located in census tracts that are fully or partially on "Indian country" as defined in 18 U.S.C. Sec. 1151.</w:t>
      </w:r>
    </w:p>
    <w:p>
      <w:pPr>
        <w:spacing w:before="0" w:after="0" w:line="408" w:lineRule="exact"/>
        <w:ind w:left="0" w:right="0" w:firstLine="576"/>
        <w:jc w:val="left"/>
      </w:pPr>
      <w:r>
        <w:rPr/>
        <w:t xml:space="preserve">(23)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(24)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(25)(a) "Market customer" means a nonresidential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 utility who becomes a market customer after May 7, 2019.</w:t>
      </w:r>
    </w:p>
    <w:p>
      <w:pPr>
        <w:spacing w:before="0" w:after="0" w:line="408" w:lineRule="exact"/>
        <w:ind w:left="0" w:right="0" w:firstLine="576"/>
        <w:jc w:val="left"/>
      </w:pPr>
      <w:r>
        <w:rPr/>
        <w:t xml:space="preserve">(26)(a)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(27)(a)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(28)(a)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(29) "Qualified transmission line" means an overhead transmission line that is: (a) Designed to carry a voltage in excess of one hundred thousand volts; (b) owned in whole or in part by an investor-owned utility; and (c) primarily or exclusively used by such an investor-owned utility as of May 7, 2019, to transmit electricity generated by a coal-fired resource.</w:t>
      </w:r>
    </w:p>
    <w:p>
      <w:pPr>
        <w:spacing w:before="0" w:after="0" w:line="408" w:lineRule="exact"/>
        <w:ind w:left="0" w:right="0" w:firstLine="576"/>
        <w:jc w:val="left"/>
      </w:pPr>
      <w:r>
        <w:rPr/>
        <w:t xml:space="preserve">(30)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(31)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(32)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(33)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(34)(a)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May 7, 2019.</w:t>
      </w:r>
    </w:p>
    <w:p>
      <w:pPr>
        <w:spacing w:before="0" w:after="0" w:line="408" w:lineRule="exact"/>
        <w:ind w:left="0" w:right="0" w:firstLine="576"/>
        <w:jc w:val="left"/>
      </w:pPr>
      <w:r>
        <w:rPr/>
        <w:t xml:space="preserve">(35)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May 7, 2019,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(36)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(37)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(38)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(39)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405</w:t>
      </w:r>
      <w:r>
        <w:rPr/>
        <w:t xml:space="preserve">.</w:t>
      </w:r>
      <w:r>
        <w:t xml:space="preserve">030</w:t>
      </w:r>
      <w:r>
        <w:rPr/>
        <w:t xml:space="preserve"> and 2019 c 288 s 3 are each amended to read as follows:</w:t>
      </w:r>
    </w:p>
    <w:p>
      <w:pPr>
        <w:spacing w:before="0" w:after="0" w:line="408" w:lineRule="exact"/>
        <w:ind w:left="0" w:right="0" w:firstLine="576"/>
        <w:jc w:val="left"/>
      </w:pP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shall allow in electric rates all decommissioning and remediation costs prudently incurred by an investor-owned utility for a coal-fired resource.</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a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RCW 19.405.090(1), except as otherwise provided in this chapter.</w:t>
      </w:r>
    </w:p>
    <w:p>
      <w:pPr>
        <w:spacing w:before="0" w:after="0" w:line="408" w:lineRule="exact"/>
        <w:ind w:left="0" w:right="0" w:firstLine="576"/>
        <w:jc w:val="left"/>
      </w:pPr>
      <w:r>
        <w:rPr>
          <w:u w:val="single"/>
        </w:rPr>
        <w:t xml:space="preserve">(5) Nothing in this section prohibits an electric utility from purchasing or exchanging power from the Bonneville power administration.</w:t>
      </w:r>
    </w:p>
    <w:p/>
    <w:p>
      <w:pPr>
        <w:jc w:val="center"/>
      </w:pPr>
      <w:r>
        <w:rPr>
          <w:b/>
        </w:rPr>
        <w:t>--- END ---</w:t>
      </w:r>
    </w:p>
    <w:sectPr>
      <w:pgNumType w:start="1"/>
      <w:footerReference xmlns:r="http://schemas.openxmlformats.org/officeDocument/2006/relationships" r:id="Rc584afa7243d44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3c39d7921457e" /><Relationship Type="http://schemas.openxmlformats.org/officeDocument/2006/relationships/footer" Target="/word/footer1.xml" Id="Rc584afa7243d448e" /></Relationships>
</file>