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6ae6d75b54083" /></Relationships>
</file>

<file path=word/document.xml><?xml version="1.0" encoding="utf-8"?>
<w:document xmlns:w="http://schemas.openxmlformats.org/wordprocessingml/2006/main">
  <w:body>
    <w:p>
      <w:r>
        <w:t>S-0247.2</w:t>
      </w:r>
    </w:p>
    <w:p>
      <w:pPr>
        <w:jc w:val="center"/>
      </w:pPr>
      <w:r>
        <w:t>_______________________________________________</w:t>
      </w:r>
    </w:p>
    <w:p/>
    <w:p>
      <w:pPr>
        <w:jc w:val="center"/>
      </w:pPr>
      <w:r>
        <w:rPr>
          <w:b/>
        </w:rPr>
        <w:t>SENATE BILL 5374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Liias, Valdez, Hasegawa, Krishnadasan, Lovelett, Nobles, Stanford, and C. Wilson</w:t>
      </w:r>
    </w:p>
    <w:p/>
    <w:p>
      <w:r>
        <w:rPr>
          <w:t xml:space="preserve">Read first time 01/20/25.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tribal representation in certain transportation activities; amending RCW 36.70A.070, 36.81.121, 43.59.156, and 43.59.156; adding a new section to chapter 43.59 RCW; making an appropriation;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2024 c 135 s 1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 and</w:t>
      </w:r>
    </w:p>
    <w:p>
      <w:pPr>
        <w:spacing w:before="0" w:after="0" w:line="408" w:lineRule="exact"/>
        <w:ind w:left="0" w:right="0" w:firstLine="576"/>
        <w:jc w:val="left"/>
      </w:pPr>
      <w:r>
        <w:rPr/>
        <w:t xml:space="preserve">(II) Any included retail or food service space must not exceed 2,500 square feet for a new use, unless the new retail space is for an essential rural retail service and the designated limited area is located at least 10 miles from an existing urban growth area, then the new retail space must not exceed 10,000 square feet;</w:t>
      </w:r>
    </w:p>
    <w:p>
      <w:pPr>
        <w:spacing w:before="0" w:after="0" w:line="408" w:lineRule="exact"/>
        <w:ind w:left="0" w:right="0" w:firstLine="576"/>
        <w:jc w:val="left"/>
      </w:pPr>
      <w:r>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36.70A.030(35). Rural counties may also allow new small-scale businesses to utilize a site previously occupied by an existing business as long as the new small-scale business conforms to the rural character of the area as defined by the local government according to RCW 36.70A.030(35).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w:t>
      </w:r>
      <w:r>
        <w:t>((</w:t>
      </w:r>
      <w:r>
        <w:rPr>
          <w:strike/>
        </w:rPr>
        <w:t xml:space="preserve">ten-year</w:t>
      </w:r>
      <w:r>
        <w:t>))</w:t>
      </w:r>
      <w:r>
        <w:rPr/>
        <w:t xml:space="preserve"> </w:t>
      </w:r>
      <w:r>
        <w:rPr>
          <w:u w:val="single"/>
        </w:rPr>
        <w:t xml:space="preserve">10-year</w:t>
      </w:r>
      <w:r>
        <w:rPr/>
        <w:t xml:space="preserve">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w:t>
      </w:r>
      <w:r>
        <w:t>((</w:t>
      </w:r>
      <w:r>
        <w:rPr>
          <w:strike/>
        </w:rPr>
        <w:t xml:space="preserve">ten</w:t>
      </w:r>
      <w:r>
        <w:t>))</w:t>
      </w:r>
      <w:r>
        <w:rPr/>
        <w:t xml:space="preserve"> </w:t>
      </w:r>
      <w:r>
        <w:rPr>
          <w:u w:val="single"/>
        </w:rPr>
        <w:t xml:space="preserve">10</w:t>
      </w:r>
      <w:r>
        <w:rPr/>
        <w:t xml:space="preserve">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w:t>
      </w:r>
      <w:r>
        <w:rPr>
          <w:u w:val="single"/>
        </w:rPr>
        <w:t xml:space="preserve">to include affected tribal governments,</w:t>
      </w:r>
      <w:r>
        <w:rPr/>
        <w:t xml:space="preserve"> including an assessment of the impacts of the transportation plan and land use assumptions on the transportation systems of adjacent jurisdictions</w:t>
      </w:r>
      <w:r>
        <w:rPr>
          <w:u w:val="single"/>
        </w:rPr>
        <w:t xml:space="preserve">, including affected tribal areas</w:t>
      </w:r>
      <w:r>
        <w:rPr/>
        <w:t xml:space="preserve">;</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w:t>
      </w:r>
      <w:r>
        <w:t>((</w:t>
      </w:r>
      <w:r>
        <w:rPr>
          <w:strike/>
        </w:rPr>
        <w:t xml:space="preserve">ten-year</w:t>
      </w:r>
      <w:r>
        <w:t>))</w:t>
      </w:r>
      <w:r>
        <w:rPr/>
        <w:t xml:space="preserve"> </w:t>
      </w:r>
      <w:r>
        <w:rPr>
          <w:u w:val="single"/>
        </w:rPr>
        <w:t xml:space="preserve">10-year</w:t>
      </w:r>
      <w:r>
        <w:rPr/>
        <w:t xml:space="preserve">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81</w:t>
      </w:r>
      <w:r>
        <w:rPr/>
        <w:t xml:space="preserve">.</w:t>
      </w:r>
      <w:r>
        <w:t xml:space="preserve">121</w:t>
      </w:r>
      <w:r>
        <w:rPr/>
        <w:t xml:space="preserve"> and 2005 c 360 s 3 are each amended to read as follows:</w:t>
      </w:r>
    </w:p>
    <w:p>
      <w:pPr>
        <w:spacing w:before="0" w:after="0" w:line="408" w:lineRule="exact"/>
        <w:ind w:left="0" w:right="0" w:firstLine="576"/>
        <w:jc w:val="left"/>
      </w:pPr>
      <w:r>
        <w:rPr/>
        <w:t xml:space="preserve">(1) At any time before adoption of the budget, the legislative authority of each county, after one or more public hearings thereon, shall prepare and adopt a comprehensive transportation program for the ensuing six calendar years. If the county has adopted a comprehensive plan pursuant to chapter 35.63 or 36.70 RCW, the inherent authority of a charter county derived from its charter, or chapter 36.70A RCW, the program shall be consistent with this comprehensive plan.</w:t>
      </w:r>
    </w:p>
    <w:p>
      <w:pPr>
        <w:spacing w:before="0" w:after="0" w:line="408" w:lineRule="exact"/>
        <w:ind w:left="0" w:right="0" w:firstLine="576"/>
        <w:jc w:val="left"/>
      </w:pPr>
      <w:r>
        <w:rPr/>
        <w:t xml:space="preserve">The program shall include proposed road and bridge construction work and other transportation facilities and programs deemed appropriate, and for those counties operating ferries shall also include a separate section showing proposed capital expenditures for ferries, docks, and related facilities. The program shall include any new or enhanced bicycle or pedestrian facilities identified pursuant to RCW 36.70A.070(6) or other applicable changes that promote nonmotorized transit. Copies of the program shall be filed with the county road administration board and with the state secretary of transportation not more than </w:t>
      </w:r>
      <w:r>
        <w:t>((</w:t>
      </w:r>
      <w:r>
        <w:rPr>
          <w:strike/>
        </w:rPr>
        <w:t xml:space="preserve">thirty</w:t>
      </w:r>
      <w:r>
        <w:t>))</w:t>
      </w:r>
      <w:r>
        <w:rPr/>
        <w:t xml:space="preserve"> </w:t>
      </w:r>
      <w:r>
        <w:rPr>
          <w:u w:val="single"/>
        </w:rPr>
        <w:t xml:space="preserve">30</w:t>
      </w:r>
      <w:r>
        <w:rPr/>
        <w:t xml:space="preserve"> days after its adoption by the legislative authority. The purpose of this section is to assure that each county shall perpetually have available advanced plans looking to the future for not less than six years as a guide in carrying out a coordinated transportation program. The program may at any time be revised by a majority of the legislative authority but only after a public hearing thereon.</w:t>
      </w:r>
    </w:p>
    <w:p>
      <w:pPr>
        <w:spacing w:before="0" w:after="0" w:line="408" w:lineRule="exact"/>
        <w:ind w:left="0" w:right="0" w:firstLine="576"/>
        <w:jc w:val="left"/>
      </w:pPr>
      <w:r>
        <w:rPr/>
        <w:t xml:space="preserve">(2) Each six-year transportation program forwarded to the secretary in compliance with subsection (1) of this section shall contain information as to how a county will expend its moneys, including funds made available pursuant to chapter 47.30 RCW, for nonmotorized transportation purposes.</w:t>
      </w:r>
    </w:p>
    <w:p>
      <w:pPr>
        <w:spacing w:before="0" w:after="0" w:line="408" w:lineRule="exact"/>
        <w:ind w:left="0" w:right="0" w:firstLine="576"/>
        <w:jc w:val="left"/>
      </w:pPr>
      <w:r>
        <w:rPr/>
        <w:t xml:space="preserve">(3) Each six-year transportation program forwarded to the secretary in compliance with subsection (1) of this section shall contain information as to how a county shall act to preserve railroad right-of-way in the event the railroad ceases to operate in the county's jurisdiction.</w:t>
      </w:r>
    </w:p>
    <w:p>
      <w:pPr>
        <w:spacing w:before="0" w:after="0" w:line="408" w:lineRule="exact"/>
        <w:ind w:left="0" w:right="0" w:firstLine="576"/>
        <w:jc w:val="left"/>
      </w:pPr>
      <w:r>
        <w:rPr/>
        <w:t xml:space="preserve">(4) The six-year plan for each county shall specifically set forth those projects and programs of regional significance for inclusion in the transportation improvement program within that region.</w:t>
      </w:r>
    </w:p>
    <w:p>
      <w:pPr>
        <w:spacing w:before="0" w:after="0" w:line="408" w:lineRule="exact"/>
        <w:ind w:left="0" w:right="0" w:firstLine="576"/>
        <w:jc w:val="left"/>
      </w:pPr>
      <w:r>
        <w:rPr>
          <w:u w:val="single"/>
        </w:rPr>
        <w:t xml:space="preserve">(5) The comprehensive transportation program under this section must be prepared in coordination with affected tribal governments to assess the impacts of the program on affected tribal areas and to incorporate transportation needs of affected tribal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156</w:t>
      </w:r>
      <w:r>
        <w:rPr/>
        <w:t xml:space="preserve"> and 2020 c 72 s 1 are each amended to read as follows:</w:t>
      </w:r>
    </w:p>
    <w:p>
      <w:pPr>
        <w:spacing w:before="0" w:after="0" w:line="408" w:lineRule="exact"/>
        <w:ind w:left="0" w:right="0" w:firstLine="576"/>
        <w:jc w:val="left"/>
      </w:pPr>
      <w:r>
        <w:rPr/>
        <w:t xml:space="preserve">(1) Within amounts appropriated to the traffic safety commission, the commission must convene the Cooper Jones active transportation safety council comprised of stakeholders who have a unique interest or expertise in the safety of pedestrians, bicyclists, and other nonmotorists.</w:t>
      </w:r>
    </w:p>
    <w:p>
      <w:pPr>
        <w:spacing w:before="0" w:after="0" w:line="408" w:lineRule="exact"/>
        <w:ind w:left="0" w:right="0" w:firstLine="576"/>
        <w:jc w:val="left"/>
      </w:pPr>
      <w:r>
        <w:rPr/>
        <w:t xml:space="preserve">(2) The purpose of the council is to review and analyze data and programs related to fatalities and serious injuries involving pedestrians, bicyclists, and other nonmotorists to identify points at which the transportation system can be improved including, whenever possible, privately owned areas of the system such as parking lots, and to identify patterns in pedestrian, bicyclist, and other nonmotorist fatalities and serious injuries. The council may also:</w:t>
      </w:r>
    </w:p>
    <w:p>
      <w:pPr>
        <w:spacing w:before="0" w:after="0" w:line="408" w:lineRule="exact"/>
        <w:ind w:left="0" w:right="0" w:firstLine="576"/>
        <w:jc w:val="left"/>
      </w:pPr>
      <w:r>
        <w:rPr/>
        <w:t xml:space="preserve">(a) Monitor progress on implementation of existing council recommendations; and</w:t>
      </w:r>
    </w:p>
    <w:p>
      <w:pPr>
        <w:spacing w:before="0" w:after="0" w:line="408" w:lineRule="exact"/>
        <w:ind w:left="0" w:right="0" w:firstLine="576"/>
        <w:jc w:val="left"/>
      </w:pPr>
      <w:r>
        <w:rPr/>
        <w:t xml:space="preserve">(b) Seek opportunities to expand consideration and implementation of the principles of systematic safety, including areas where data collection may need improvement.</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pedestrian, bicyclist, or nonmotorist deaths have occurred;</w:t>
      </w:r>
    </w:p>
    <w:p>
      <w:pPr>
        <w:spacing w:before="0" w:after="0" w:line="408" w:lineRule="exact"/>
        <w:ind w:left="0" w:right="0" w:firstLine="576"/>
        <w:jc w:val="left"/>
      </w:pPr>
      <w:r>
        <w:rPr/>
        <w:t xml:space="preserve">(iii) Multiple members of law enforcement who have investigated pedestrian, bicyclist, or nonmotorist fatalities;</w:t>
      </w:r>
    </w:p>
    <w:p>
      <w:pPr>
        <w:spacing w:before="0" w:after="0" w:line="408" w:lineRule="exact"/>
        <w:ind w:left="0" w:right="0" w:firstLine="576"/>
        <w:jc w:val="left"/>
      </w:pPr>
      <w:r>
        <w:rPr/>
        <w:t xml:space="preserve">(iv) A traffic engineer;</w:t>
      </w:r>
    </w:p>
    <w:p>
      <w:pPr>
        <w:spacing w:before="0" w:after="0" w:line="408" w:lineRule="exact"/>
        <w:ind w:left="0" w:right="0" w:firstLine="576"/>
        <w:jc w:val="left"/>
      </w:pPr>
      <w:r>
        <w:rPr/>
        <w:t xml:space="preserve">(v) A representative from the department of transportation and a representative from the department of health;</w:t>
      </w:r>
    </w:p>
    <w:p>
      <w:pPr>
        <w:spacing w:before="0" w:after="0" w:line="408" w:lineRule="exact"/>
        <w:ind w:left="0" w:right="0" w:firstLine="576"/>
        <w:jc w:val="left"/>
      </w:pPr>
      <w:r>
        <w:rPr/>
        <w:t xml:space="preserve">(vi) A representative from the association of Washington cities;</w:t>
      </w:r>
    </w:p>
    <w:p>
      <w:pPr>
        <w:spacing w:before="0" w:after="0" w:line="408" w:lineRule="exact"/>
        <w:ind w:left="0" w:right="0" w:firstLine="576"/>
        <w:jc w:val="left"/>
      </w:pPr>
      <w:r>
        <w:rPr/>
        <w:t xml:space="preserve">(vii) A representative from the Washington state association of counties;</w:t>
      </w:r>
    </w:p>
    <w:p>
      <w:pPr>
        <w:spacing w:before="0" w:after="0" w:line="408" w:lineRule="exact"/>
        <w:ind w:left="0" w:right="0" w:firstLine="576"/>
        <w:jc w:val="left"/>
      </w:pPr>
      <w:r>
        <w:rPr/>
        <w:t xml:space="preserve">(viii) A representative from a pedestrian advocacy group; </w:t>
      </w:r>
      <w:r>
        <w:t>((</w:t>
      </w:r>
      <w:r>
        <w:rPr>
          <w:strike/>
        </w:rPr>
        <w:t xml:space="preserve">and</w:t>
      </w:r>
      <w:r>
        <w:t>))</w:t>
      </w:r>
    </w:p>
    <w:p>
      <w:pPr>
        <w:spacing w:before="0" w:after="0" w:line="408" w:lineRule="exact"/>
        <w:ind w:left="0" w:right="0" w:firstLine="576"/>
        <w:jc w:val="left"/>
      </w:pPr>
      <w:r>
        <w:rPr/>
        <w:t xml:space="preserve">(ix) </w:t>
      </w:r>
      <w:r>
        <w:rPr>
          <w:u w:val="single"/>
        </w:rPr>
        <w:t xml:space="preserve">A representative from a tribal government; and</w:t>
      </w:r>
    </w:p>
    <w:p>
      <w:pPr>
        <w:spacing w:before="0" w:after="0" w:line="408" w:lineRule="exact"/>
        <w:ind w:left="0" w:right="0" w:firstLine="576"/>
        <w:jc w:val="left"/>
      </w:pPr>
      <w:r>
        <w:rPr>
          <w:u w:val="single"/>
        </w:rPr>
        <w:t xml:space="preserve">(x)</w:t>
      </w:r>
      <w:r>
        <w:rPr/>
        <w:t xml:space="preserve"> A representative from a bicyclist or other nonmotorist advocacy group.</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 bicyclist, or nonmotorist fatalities and serious injuries that occur in Washington, the council may review any available information, including crash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 bicyclist, or nonmotorist safety. Additionally, the council may make recommendations on how to improve traffic fatality and serious injury data quality, including crashes that occur in privately owned property such as parking lots. The council may consult with local cities and counties, as well as local police departments and other law enforcement agencies and associations representing those jurisdictions on how to improve data quality regarding crashes occurring on private property.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pedestrian, bicyclist, or nonmotorist safety in accordance with recommendations made by the council.</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"Bicyclist fatality" means any death of a bicyclist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active transportation safety council.</w:t>
      </w:r>
    </w:p>
    <w:p>
      <w:pPr>
        <w:spacing w:before="0" w:after="0" w:line="408" w:lineRule="exact"/>
        <w:ind w:left="0" w:right="0" w:firstLine="576"/>
        <w:jc w:val="left"/>
      </w:pPr>
      <w:r>
        <w:rPr/>
        <w:t xml:space="preserve">(c) "Nonmotorist" means anyone using the transportation system who is not in a vehicle.</w:t>
      </w:r>
    </w:p>
    <w:p>
      <w:pPr>
        <w:spacing w:before="0" w:after="0" w:line="408" w:lineRule="exact"/>
        <w:ind w:left="0" w:right="0" w:firstLine="576"/>
        <w:jc w:val="left"/>
      </w:pPr>
      <w:r>
        <w:rPr/>
        <w:t xml:space="preserve">(d) "Pedestrian fatality" means any death of a pedestrian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(e) "Serious injury" means any injury other than a fatal injury that prevents the injured person from walking, driving, or normally continuing the activities the person was capable of performing before the injury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156</w:t>
      </w:r>
      <w:r>
        <w:rPr/>
        <w:t xml:space="preserve"> and 2024 c 164 s 523 are each amended to read as follows:</w:t>
      </w:r>
    </w:p>
    <w:p>
      <w:pPr>
        <w:spacing w:before="0" w:after="0" w:line="408" w:lineRule="exact"/>
        <w:ind w:left="0" w:right="0" w:firstLine="576"/>
        <w:jc w:val="left"/>
      </w:pPr>
      <w:r>
        <w:rPr/>
        <w:t xml:space="preserve">(1) Within amounts appropriated to the traffic safety commission, the commission must convene the Cooper Jones active transportation safety council comprised of stakeholders who have a unique interest or expertise in the safety of pedestrians, bicyclists, and other nonmotorists.</w:t>
      </w:r>
    </w:p>
    <w:p>
      <w:pPr>
        <w:spacing w:before="0" w:after="0" w:line="408" w:lineRule="exact"/>
        <w:ind w:left="0" w:right="0" w:firstLine="576"/>
        <w:jc w:val="left"/>
      </w:pPr>
      <w:r>
        <w:rPr/>
        <w:t xml:space="preserve">(2) The purpose of the council is to review and analyze data and programs related to fatalities and serious injuries involving pedestrians, bicyclists, and other nonmotorists to identify points at which the transportation system can be improved including, whenever possible, privately owned areas of the system such as parking lots, and to identify patterns in pedestrian, bicyclist, and other nonmotorist fatalities and serious injuries. The council may also:</w:t>
      </w:r>
    </w:p>
    <w:p>
      <w:pPr>
        <w:spacing w:before="0" w:after="0" w:line="408" w:lineRule="exact"/>
        <w:ind w:left="0" w:right="0" w:firstLine="576"/>
        <w:jc w:val="left"/>
      </w:pPr>
      <w:r>
        <w:rPr/>
        <w:t xml:space="preserve">(a) Monitor progress on implementation of existing council recommendations; and</w:t>
      </w:r>
    </w:p>
    <w:p>
      <w:pPr>
        <w:spacing w:before="0" w:after="0" w:line="408" w:lineRule="exact"/>
        <w:ind w:left="0" w:right="0" w:firstLine="576"/>
        <w:jc w:val="left"/>
      </w:pPr>
      <w:r>
        <w:rPr/>
        <w:t xml:space="preserve">(b) Seek opportunities to expand consideration and implementation of the principles of systematic safety, including areas where data collection may need improvement.</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pedestrian, bicyclist, or nonmotorist deaths have occurred;</w:t>
      </w:r>
    </w:p>
    <w:p>
      <w:pPr>
        <w:spacing w:before="0" w:after="0" w:line="408" w:lineRule="exact"/>
        <w:ind w:left="0" w:right="0" w:firstLine="576"/>
        <w:jc w:val="left"/>
      </w:pPr>
      <w:r>
        <w:rPr/>
        <w:t xml:space="preserve">(iii) Multiple members of law enforcement who have investigated pedestrian, bicyclist, or nonmotorist fatalities;</w:t>
      </w:r>
    </w:p>
    <w:p>
      <w:pPr>
        <w:spacing w:before="0" w:after="0" w:line="408" w:lineRule="exact"/>
        <w:ind w:left="0" w:right="0" w:firstLine="576"/>
        <w:jc w:val="left"/>
      </w:pPr>
      <w:r>
        <w:rPr/>
        <w:t xml:space="preserve">(iv) A traffic engineer;</w:t>
      </w:r>
    </w:p>
    <w:p>
      <w:pPr>
        <w:spacing w:before="0" w:after="0" w:line="408" w:lineRule="exact"/>
        <w:ind w:left="0" w:right="0" w:firstLine="576"/>
        <w:jc w:val="left"/>
      </w:pPr>
      <w:r>
        <w:rPr/>
        <w:t xml:space="preserve">(v) A representative from the department of transportation and a representative from the department of health;</w:t>
      </w:r>
    </w:p>
    <w:p>
      <w:pPr>
        <w:spacing w:before="0" w:after="0" w:line="408" w:lineRule="exact"/>
        <w:ind w:left="0" w:right="0" w:firstLine="576"/>
        <w:jc w:val="left"/>
      </w:pPr>
      <w:r>
        <w:rPr/>
        <w:t xml:space="preserve">(vi) A representative from the association of Washington cities;</w:t>
      </w:r>
    </w:p>
    <w:p>
      <w:pPr>
        <w:spacing w:before="0" w:after="0" w:line="408" w:lineRule="exact"/>
        <w:ind w:left="0" w:right="0" w:firstLine="576"/>
        <w:jc w:val="left"/>
      </w:pPr>
      <w:r>
        <w:rPr/>
        <w:t xml:space="preserve">(vii) A representative from the Washington state association of counties;</w:t>
      </w:r>
    </w:p>
    <w:p>
      <w:pPr>
        <w:spacing w:before="0" w:after="0" w:line="408" w:lineRule="exact"/>
        <w:ind w:left="0" w:right="0" w:firstLine="576"/>
        <w:jc w:val="left"/>
      </w:pPr>
      <w:r>
        <w:rPr/>
        <w:t xml:space="preserve">(viii) A representative from a pedestrian advocacy group; </w:t>
      </w:r>
      <w:r>
        <w:t>((</w:t>
      </w:r>
      <w:r>
        <w:rPr>
          <w:strike/>
        </w:rPr>
        <w:t xml:space="preserve">and</w:t>
      </w:r>
      <w:r>
        <w:t>))</w:t>
      </w:r>
    </w:p>
    <w:p>
      <w:pPr>
        <w:spacing w:before="0" w:after="0" w:line="408" w:lineRule="exact"/>
        <w:ind w:left="0" w:right="0" w:firstLine="576"/>
        <w:jc w:val="left"/>
      </w:pPr>
      <w:r>
        <w:rPr/>
        <w:t xml:space="preserve">(ix) </w:t>
      </w:r>
      <w:r>
        <w:rPr>
          <w:u w:val="single"/>
        </w:rPr>
        <w:t xml:space="preserve">A representative from a tribal government; and</w:t>
      </w:r>
    </w:p>
    <w:p>
      <w:pPr>
        <w:spacing w:before="0" w:after="0" w:line="408" w:lineRule="exact"/>
        <w:ind w:left="0" w:right="0" w:firstLine="576"/>
        <w:jc w:val="left"/>
      </w:pPr>
      <w:r>
        <w:rPr>
          <w:u w:val="single"/>
        </w:rPr>
        <w:t xml:space="preserve">(x)</w:t>
      </w:r>
      <w:r>
        <w:rPr/>
        <w:t xml:space="preserve"> A representative from a bicyclist or other nonmotorist advocacy group.</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 bicyclist, or nonmotorist fatalities and serious injuries that occur in Washington, the council may review any available information, including crash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 bicyclist, or nonmotorist safety. Additionally, the council may make recommendations on how to improve traffic fatality and serious injury data quality, including crashes that occur in privately owned property such as parking lots. The council may consult with local cities and counties, as well as local police departments and other law enforcement agencies and associations representing those jurisdictions on how to improve data quality regarding crashes occurring on private property.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29B.45.020.</w:t>
      </w:r>
    </w:p>
    <w:p>
      <w:pPr>
        <w:spacing w:before="0" w:after="0" w:line="408" w:lineRule="exact"/>
        <w:ind w:left="0" w:right="0" w:firstLine="576"/>
        <w:jc w:val="left"/>
      </w:pPr>
      <w:r>
        <w:rPr/>
        <w:t xml:space="preserve">(b) Subject to the appropriation of funds for this specific purpose, the council may provide grants targeted at improving pedestrian, bicyclist, or nonmotorist safety in accordance with recommendations made by the council.</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"Bicyclist fatality" means any death of a bicyclist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active transportation safety council.</w:t>
      </w:r>
    </w:p>
    <w:p>
      <w:pPr>
        <w:spacing w:before="0" w:after="0" w:line="408" w:lineRule="exact"/>
        <w:ind w:left="0" w:right="0" w:firstLine="576"/>
        <w:jc w:val="left"/>
      </w:pPr>
      <w:r>
        <w:rPr/>
        <w:t xml:space="preserve">(c) "Nonmotorist" means anyone using the transportation system who is not in a vehicle.</w:t>
      </w:r>
    </w:p>
    <w:p>
      <w:pPr>
        <w:spacing w:before="0" w:after="0" w:line="408" w:lineRule="exact"/>
        <w:ind w:left="0" w:right="0" w:firstLine="576"/>
        <w:jc w:val="left"/>
      </w:pPr>
      <w:r>
        <w:rPr/>
        <w:t xml:space="preserve">(d) "Pedestrian fatality" means any death of a pedestrian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(e) "Serious injury" means any injury other than a fatal injury that prevents the injured person from walking, driving, or normally continuing the activities the person was capable of performing before the injury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must establish a tribal traffic safety coordinator program to assist tribes in implementing traffic safety strategies.</w:t>
      </w:r>
    </w:p>
    <w:p>
      <w:pPr>
        <w:spacing w:before="0" w:after="0" w:line="408" w:lineRule="exact"/>
        <w:ind w:left="0" w:right="0" w:firstLine="576"/>
        <w:jc w:val="left"/>
      </w:pPr>
      <w:r>
        <w:rPr/>
        <w:t xml:space="preserve">(2) Use of program funds may include, but are not limited to, any of the following activities:</w:t>
      </w:r>
    </w:p>
    <w:p>
      <w:pPr>
        <w:spacing w:before="0" w:after="0" w:line="408" w:lineRule="exact"/>
        <w:ind w:left="0" w:right="0" w:firstLine="576"/>
        <w:jc w:val="left"/>
      </w:pPr>
      <w:r>
        <w:rPr/>
        <w:t xml:space="preserve">(a) Create and execute comprehensive traffic safety programs tailored to the community's unique needs;</w:t>
      </w:r>
    </w:p>
    <w:p>
      <w:pPr>
        <w:spacing w:before="0" w:after="0" w:line="408" w:lineRule="exact"/>
        <w:ind w:left="0" w:right="0" w:firstLine="576"/>
        <w:jc w:val="left"/>
      </w:pPr>
      <w:r>
        <w:rPr/>
        <w:t xml:space="preserve">(b) Establish structured processes for gathering, assessing, analyzing, and presenting traffic safety data to support informed decision making;</w:t>
      </w:r>
    </w:p>
    <w:p>
      <w:pPr>
        <w:spacing w:before="0" w:after="0" w:line="408" w:lineRule="exact"/>
        <w:ind w:left="0" w:right="0" w:firstLine="576"/>
        <w:jc w:val="left"/>
      </w:pPr>
      <w:r>
        <w:rPr/>
        <w:t xml:space="preserve">(c) Lead public outreach efforts, organize road safety audits, and identify gaps in existing data and safety practices;</w:t>
      </w:r>
    </w:p>
    <w:p>
      <w:pPr>
        <w:spacing w:before="0" w:after="0" w:line="408" w:lineRule="exact"/>
        <w:ind w:left="0" w:right="0" w:firstLine="576"/>
        <w:jc w:val="left"/>
      </w:pPr>
      <w:r>
        <w:rPr/>
        <w:t xml:space="preserve">(d) Develop dual language educational programs and conduct Americans with disabilities act, pedestrian, and other traffic safety surveys to enhance inclusivity and awareness;</w:t>
      </w:r>
    </w:p>
    <w:p>
      <w:pPr>
        <w:spacing w:before="0" w:after="0" w:line="408" w:lineRule="exact"/>
        <w:ind w:left="0" w:right="0" w:firstLine="576"/>
        <w:jc w:val="left"/>
      </w:pPr>
      <w:r>
        <w:rPr/>
        <w:t xml:space="preserve">(e) Oversee safety performance metrics, prepare detailed reports, and guide the program's transition to long-term sustainability; and</w:t>
      </w:r>
    </w:p>
    <w:p>
      <w:pPr>
        <w:spacing w:before="0" w:after="0" w:line="408" w:lineRule="exact"/>
        <w:ind w:left="0" w:right="0" w:firstLine="576"/>
        <w:jc w:val="left"/>
      </w:pPr>
      <w:r>
        <w:rPr/>
        <w:t xml:space="preserve">(f) Present project results and data-driven insights to the respective tribal council to secure approvals for traffic safety initiatives and ensure alignment with community priorities.</w:t>
      </w:r>
    </w:p>
    <w:p>
      <w:pPr>
        <w:spacing w:before="0" w:after="0" w:line="408" w:lineRule="exact"/>
        <w:ind w:left="0" w:right="0" w:firstLine="576"/>
        <w:jc w:val="left"/>
      </w:pPr>
      <w:r>
        <w:rPr/>
        <w:t xml:space="preserve">(3) Program funds may also be used to match or supplement federal funds received by the commission for such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 or as much thereof as may be necessary, is appropriated for the fiscal biennium ending June 30, 2027, from the highway safety fund to the traffic safety commission for the purposes of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2026.</w:t>
      </w:r>
    </w:p>
    <w:p/>
    <w:p>
      <w:pPr>
        <w:jc w:val="center"/>
      </w:pPr>
      <w:r>
        <w:rPr>
          <w:b/>
        </w:rPr>
        <w:t>--- END ---</w:t>
      </w:r>
    </w:p>
    <w:sectPr>
      <w:pgNumType w:start="1"/>
      <w:footerReference xmlns:r="http://schemas.openxmlformats.org/officeDocument/2006/relationships" r:id="R13cffe0bb3ee4d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7162d672e4189" /><Relationship Type="http://schemas.openxmlformats.org/officeDocument/2006/relationships/footer" Target="/word/footer1.xml" Id="R13cffe0bb3ee4d27" /></Relationships>
</file>