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651d2c264646af" /></Relationships>
</file>

<file path=word/document.xml><?xml version="1.0" encoding="utf-8"?>
<w:document xmlns:w="http://schemas.openxmlformats.org/wordprocessingml/2006/main">
  <w:body>
    <w:p>
      <w:r>
        <w:t>S-0214.1</w:t>
      </w:r>
    </w:p>
    <w:p>
      <w:pPr>
        <w:jc w:val="center"/>
      </w:pPr>
      <w:r>
        <w:t>_______________________________________________</w:t>
      </w:r>
    </w:p>
    <w:p/>
    <w:p>
      <w:pPr>
        <w:jc w:val="center"/>
      </w:pPr>
      <w:r>
        <w:rPr>
          <w:b/>
        </w:rPr>
        <w:t>SENATE BILL 5349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a concealed pistol license holder from the prohibition against importing firearms classified as assault rifles; and amending RCW 9.41.390.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390</w:t>
      </w:r>
      <w:r>
        <w:rPr/>
        <w:t xml:space="preserve"> and 2023 c 162 s 3 are each amended to read as follows:</w:t>
      </w:r>
    </w:p>
    <w:p>
      <w:pPr>
        <w:spacing w:before="0" w:after="0" w:line="408" w:lineRule="exact"/>
        <w:ind w:left="0" w:right="0" w:firstLine="576"/>
        <w:jc w:val="left"/>
      </w:pPr>
      <w:r>
        <w:rPr/>
        <w:t xml:space="preserve">(1) No person in this state may manufacture, import, distribute, sell, or offer for sale any assault weapon, except as authorized in this section.</w:t>
      </w:r>
    </w:p>
    <w:p>
      <w:pPr>
        <w:spacing w:before="0" w:after="0" w:line="408" w:lineRule="exact"/>
        <w:ind w:left="0" w:right="0" w:firstLine="576"/>
        <w:jc w:val="left"/>
      </w:pPr>
      <w:r>
        <w:rPr/>
        <w:t xml:space="preserve">(2) Subsection (1) of this section does not apply to any of the following:</w:t>
      </w:r>
    </w:p>
    <w:p>
      <w:pPr>
        <w:spacing w:before="0" w:after="0" w:line="408" w:lineRule="exact"/>
        <w:ind w:left="0" w:right="0" w:firstLine="576"/>
        <w:jc w:val="left"/>
      </w:pPr>
      <w:r>
        <w:rPr/>
        <w:t xml:space="preserve">(a) The manufacture, importation, distribution, offer for sale, or sale of an assault weapon by a licensed firearms manufacturer for the purposes of sale to any branch of the armed forces of the United States or the state of Washington, or to any law enforcement agency for use by that agency or its employees for law enforcement purposes, or to a person who does not reside in this state;</w:t>
      </w:r>
    </w:p>
    <w:p>
      <w:pPr>
        <w:spacing w:before="0" w:after="0" w:line="408" w:lineRule="exact"/>
        <w:ind w:left="0" w:right="0" w:firstLine="576"/>
        <w:jc w:val="left"/>
      </w:pPr>
      <w:r>
        <w:rPr/>
        <w:t xml:space="preserve">(b) The importation, distribution, offer for sale, or sale of an assault weapon by a dealer that is properly licensed under federal and state law for the purpose of sale to any branch of the armed forces of the United States or the state of Washington, or to a law enforcement agency in this state for use by that agency or its employees for law enforcement purposes;</w:t>
      </w:r>
    </w:p>
    <w:p>
      <w:pPr>
        <w:spacing w:before="0" w:after="0" w:line="408" w:lineRule="exact"/>
        <w:ind w:left="0" w:right="0" w:firstLine="576"/>
        <w:jc w:val="left"/>
      </w:pPr>
      <w:r>
        <w:rPr/>
        <w:t xml:space="preserve">(c) The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state. The purpose of this section is to allow individuals who no longer wish to own an assault weapon to sell their assault weapon and is not intended to allow Washington dealers to purchase assault weapons wholesale for the purpose of selling a stock or inventory of assault weapons online or in person to nonresidents;</w:t>
      </w:r>
    </w:p>
    <w:p>
      <w:pPr>
        <w:spacing w:before="0" w:after="0" w:line="408" w:lineRule="exact"/>
        <w:ind w:left="0" w:right="0" w:firstLine="576"/>
        <w:jc w:val="left"/>
      </w:pPr>
      <w:r>
        <w:rPr/>
        <w:t xml:space="preserve">(d) The out-of-state sale or transfer of the existing stock of assault weapons owned by a licensed dealer that was acquired prior to January 1, 2023, for the limited period of 90 days after April 25, 2023; </w:t>
      </w:r>
      <w:r>
        <w:t>((</w:t>
      </w:r>
      <w:r>
        <w:rPr>
          <w:strike/>
        </w:rPr>
        <w:t xml:space="preserve">or</w:t>
      </w:r>
      <w:r>
        <w:t>))</w:t>
      </w:r>
    </w:p>
    <w:p>
      <w:pPr>
        <w:spacing w:before="0" w:after="0" w:line="408" w:lineRule="exact"/>
        <w:ind w:left="0" w:right="0" w:firstLine="576"/>
        <w:jc w:val="left"/>
      </w:pPr>
      <w:r>
        <w:rPr/>
        <w:t xml:space="preserve">(e) </w:t>
      </w:r>
      <w:r>
        <w:rPr>
          <w:u w:val="single"/>
        </w:rPr>
        <w:t xml:space="preserve">The importation of an assault rifle by a person who, at the time of the transaction, maintains a valid concealed pistol license under RCW 9.41.070; or</w:t>
      </w:r>
    </w:p>
    <w:p>
      <w:pPr>
        <w:spacing w:before="0" w:after="0" w:line="408" w:lineRule="exact"/>
        <w:ind w:left="0" w:right="0" w:firstLine="576"/>
        <w:jc w:val="left"/>
      </w:pPr>
      <w:r>
        <w:rPr>
          <w:u w:val="single"/>
        </w:rPr>
        <w:t xml:space="preserve">(f)</w:t>
      </w:r>
      <w:r>
        <w:rPr/>
        <w:t xml:space="preserve"> The receipt of an assault weapon by a person who, on or after April 25, 2023, acquires possession of the assault weapon by operation of law upon the death of the former owner who was in legal possession of the assault weapon, provided the person in possession of the assault weapon can establish such provenance. Receipt under this subsection (2)</w:t>
      </w:r>
      <w:r>
        <w:t>((</w:t>
      </w:r>
      <w:r>
        <w:rPr>
          <w:strike/>
        </w:rPr>
        <w:t xml:space="preserve">(e)</w:t>
      </w:r>
      <w:r>
        <w:t>))</w:t>
      </w:r>
      <w:r>
        <w:rPr/>
        <w:t xml:space="preserve"> </w:t>
      </w:r>
      <w:r>
        <w:rPr>
          <w:u w:val="single"/>
        </w:rPr>
        <w:t xml:space="preserve">(f)</w:t>
      </w:r>
      <w:r>
        <w:rPr/>
        <w:t xml:space="preserve"> is not "distribution" under this chapter. A person who legally receives an assault weapon under this subsection (2)</w:t>
      </w:r>
      <w:r>
        <w:t>((</w:t>
      </w:r>
      <w:r>
        <w:rPr>
          <w:strike/>
        </w:rPr>
        <w:t xml:space="preserve">(e)</w:t>
      </w:r>
      <w:r>
        <w:t>))</w:t>
      </w:r>
      <w:r>
        <w:rPr/>
        <w:t xml:space="preserve"> </w:t>
      </w:r>
      <w:r>
        <w:rPr>
          <w:u w:val="single"/>
        </w:rPr>
        <w:t xml:space="preserve">(f)</w:t>
      </w:r>
      <w:r>
        <w:rPr/>
        <w:t xml:space="preserve"> may not sell or transfer the assault weapon to any other person in this state other than to a licensed dealer, to a federally licensed gunsmith for the purpose of service or repair, or to a law enforcement agency for the purpose of permanently relinquishing the assault weapon.</w:t>
      </w:r>
    </w:p>
    <w:p>
      <w:pPr>
        <w:spacing w:before="0" w:after="0" w:line="408" w:lineRule="exact"/>
        <w:ind w:left="0" w:right="0" w:firstLine="576"/>
        <w:jc w:val="left"/>
      </w:pPr>
      <w:r>
        <w:rPr/>
        <w:t xml:space="preserve">(3) For the purposes of this section, "law enforcement agency" means any (a) general authority Washington law enforcement agency as defined in RCW 10.93.020; (b) limited authority Washington law enforcement agency as defined in RCW 10.93.020; or (c) equivalent federal, state, or local law enforcement agency in the United States.</w:t>
      </w:r>
    </w:p>
    <w:p>
      <w:pPr>
        <w:spacing w:before="0" w:after="0" w:line="408" w:lineRule="exact"/>
        <w:ind w:left="0" w:right="0" w:firstLine="576"/>
        <w:jc w:val="left"/>
      </w:pPr>
      <w:r>
        <w:rPr/>
        <w:t xml:space="preserve">(4) A person who violates this section is guilty of a gross misdemeanor.</w:t>
      </w:r>
    </w:p>
    <w:p/>
    <w:p>
      <w:pPr>
        <w:jc w:val="center"/>
      </w:pPr>
      <w:r>
        <w:rPr>
          <w:b/>
        </w:rPr>
        <w:t>--- END ---</w:t>
      </w:r>
    </w:p>
    <w:sectPr>
      <w:pgNumType w:start="1"/>
      <w:footerReference xmlns:r="http://schemas.openxmlformats.org/officeDocument/2006/relationships" r:id="R408f9eecdad744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22d5e5deed487b" /><Relationship Type="http://schemas.openxmlformats.org/officeDocument/2006/relationships/footer" Target="/word/footer1.xml" Id="R408f9eecdad7440a" /></Relationships>
</file>