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62ef9e3789494f" /></Relationships>
</file>

<file path=word/document.xml><?xml version="1.0" encoding="utf-8"?>
<w:document xmlns:w="http://schemas.openxmlformats.org/wordprocessingml/2006/main">
  <w:body>
    <w:p>
      <w:r>
        <w:t>S-0810.1</w:t>
      </w:r>
    </w:p>
    <w:p>
      <w:pPr>
        <w:jc w:val="center"/>
      </w:pPr>
      <w:r>
        <w:t>_______________________________________________</w:t>
      </w:r>
    </w:p>
    <w:p/>
    <w:p>
      <w:pPr>
        <w:jc w:val="center"/>
      </w:pPr>
      <w:r>
        <w:rPr>
          <w:b/>
        </w:rPr>
        <w:t>SUBSTITUTE SENATE BILL 5266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Frame, J. Wilson, C. Wilson, Trudeau, Orwall, Bateman, Hasegawa, Nobles, and Valdez)</w:t>
      </w:r>
    </w:p>
    <w:p/>
    <w:p>
      <w:r>
        <w:rPr>
          <w:t xml:space="preserve">READ FIRST TIME 01/23/25.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people convicted of one or more crimes committed before the person's 18th birthday petitioning the indeterminate sentence review board after reaching the age of 24 or older; amending RCW 9.94A.730;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United States supreme court found mandatory life sentences for conduct committed by minors unconstitutional. The legislature acknowledges that since the federal and state Constitutions demand that most minors convicted of crimes will eventually be released into the community, successful rehabilitation will result in less recidivism in communities following reentry. The legislature finds that lengthy sentences with little incentive for rehabilitation until decades into incarceration misses a critical development opportunity for youth at a formative time during brain development. Scientific studies have found that brain development impacting decision making continues until age 25 and that this represents a critical period for behavior change, and therefore rehabilitation. The legislature therefore intends to create greater incentives for rehabilitation for youth convicted of offenses prior to their 18th birthday by allowing them to petition the indeterminate sentence review board after reaching the age of 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730</w:t>
      </w:r>
      <w:r>
        <w:rPr/>
        <w:t xml:space="preserve"> and 2024 c 118 s 4 are each amended to read as follows:</w:t>
      </w:r>
    </w:p>
    <w:p>
      <w:pPr>
        <w:spacing w:before="0" w:after="0" w:line="408" w:lineRule="exact"/>
        <w:ind w:left="0" w:right="0" w:firstLine="576"/>
        <w:jc w:val="left"/>
      </w:pPr>
      <w:r>
        <w:rPr/>
        <w:t xml:space="preserve">(1) Notwithstanding any other provision of this chapter, any person convicted of one or more crimes committed prior to the person's 18th birthday may petition the indeterminate sentence review board for early release after </w:t>
      </w:r>
      <w:r>
        <w:t>((</w:t>
      </w:r>
      <w:r>
        <w:rPr>
          <w:strike/>
        </w:rPr>
        <w:t xml:space="preserve">serving no less than 20 years of total confinement</w:t>
      </w:r>
      <w:r>
        <w:t>))</w:t>
      </w:r>
      <w:r>
        <w:rPr/>
        <w:t xml:space="preserve"> </w:t>
      </w:r>
      <w:r>
        <w:rPr>
          <w:u w:val="single"/>
        </w:rPr>
        <w:t xml:space="preserve">reaching the age of 24 or older</w:t>
      </w:r>
      <w:r>
        <w:rPr/>
        <w:t xml:space="preserve">, provided the person has not been convicted for any crime committed </w:t>
      </w:r>
      <w:r>
        <w:t>((</w:t>
      </w:r>
      <w:r>
        <w:rPr>
          <w:strike/>
        </w:rPr>
        <w:t xml:space="preserve">subsequent to the person's 18th birthday</w:t>
      </w:r>
      <w:r>
        <w:t>))</w:t>
      </w:r>
      <w:r>
        <w:rPr/>
        <w:t xml:space="preserve"> </w:t>
      </w:r>
      <w:r>
        <w:rPr>
          <w:u w:val="single"/>
        </w:rPr>
        <w:t xml:space="preserve">in the 12 months prior to filing the petition for early release</w:t>
      </w:r>
      <w:r>
        <w:rPr/>
        <w:t xml:space="preserve">, the person has not committed a disqualifying serious infraction as defined by the department </w:t>
      </w:r>
      <w:r>
        <w:rPr>
          <w:u w:val="single"/>
        </w:rPr>
        <w:t xml:space="preserve">or the department of children, youth, and families</w:t>
      </w:r>
      <w:r>
        <w:rPr/>
        <w:t xml:space="preserve"> in the 12 months prior to filing the petition for early release, </w:t>
      </w:r>
      <w:r>
        <w:rPr>
          <w:u w:val="single"/>
        </w:rPr>
        <w:t xml:space="preserve">the person has not been convicted of three or more murder offenses,</w:t>
      </w:r>
      <w:r>
        <w:rPr/>
        <w:t xml:space="preserve"> and the current sentence was not imposed under RCW 10.95.030 or 9.94A.507.</w:t>
      </w:r>
    </w:p>
    <w:p>
      <w:pPr>
        <w:spacing w:before="0" w:after="0" w:line="408" w:lineRule="exact"/>
        <w:ind w:left="0" w:right="0" w:firstLine="576"/>
        <w:jc w:val="left"/>
      </w:pPr>
      <w:r>
        <w:rPr/>
        <w:t xml:space="preserve">(2) No later than five years prior to the date the offender will be eligible to petition for release,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No later than 180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(4) In a hearing conducted under subsection (3) of this 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(5) </w:t>
      </w:r>
      <w:r>
        <w:rPr>
          <w:u w:val="single"/>
        </w:rPr>
        <w:t xml:space="preserve">The department may provide rental vouchers to a person who successfully petitions the board under subsection (1) of this section and is ordered to be released by the board under subsection (3) of this section if rental assistance will allow the petitioner to safely release.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 For each successful petitioner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u w:val="single"/>
        </w:rPr>
        <w:t xml:space="preserve">(6)</w:t>
      </w:r>
      <w:r>
        <w:rPr/>
        <w:t xml:space="preserve"> Any person released by the board pursuant to this section shall comply with conditions imposed or modified pursuant to RCW 9.94A.704(10), in addition to court-imposed conditions.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 offender released by the board is subject to the supervision of the department for a period of time to be determined by the board, up to the length of the court-imposed term of incarceration.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 offender released under the provisions of this section may be returned to the institution at the discretion of the board if the offender is found to have violated a condition of community custody. The offender is entitled to a hearing pursuant to RCW 9.95.435. If the board finds that the offender has committed a new violation, the board may return the offender to the institution for up to the remainder of the court-imposed term of incarceration. The offender may file a new petition for release five years from the date of return to the institution or at an earlier date as may be set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number of petitions from persons made eligible to petition the indeterminate sentence review board for early release under this act, who otherwise would not be eligible, that are acted on or responded to by the department of corrections or the board, shall be limited to no more than 70 per year. Within the limit of 70 petitions per year, the department shall prioritize examinations, and the board shall prioritize hearings on petitions for early release, in the following descending order with the highest priority given to:</w:t>
      </w:r>
    </w:p>
    <w:p>
      <w:pPr>
        <w:spacing w:before="0" w:after="0" w:line="408" w:lineRule="exact"/>
        <w:ind w:left="0" w:right="0" w:firstLine="576"/>
        <w:jc w:val="left"/>
      </w:pPr>
      <w:r>
        <w:rPr/>
        <w:t xml:space="preserve">(a) Petitioners under the age of 25 in the custody of the department of children, youth, and families; and</w:t>
      </w:r>
    </w:p>
    <w:p>
      <w:pPr>
        <w:spacing w:before="0" w:after="0" w:line="408" w:lineRule="exact"/>
        <w:ind w:left="0" w:right="0" w:firstLine="576"/>
        <w:jc w:val="left"/>
      </w:pPr>
      <w:r>
        <w:rPr/>
        <w:t xml:space="preserve">(b) Petitioners in the custody of the department of corrections who most recently transferred from the custody of the department of children, youth, and families to the custody of the department of corrections pursuant to RCW 72.01.410 as of the effective date of this section.</w:t>
      </w:r>
    </w:p>
    <w:p>
      <w:pPr>
        <w:spacing w:before="0" w:after="0" w:line="408" w:lineRule="exact"/>
        <w:ind w:left="0" w:right="0" w:firstLine="576"/>
        <w:jc w:val="left"/>
      </w:pPr>
      <w:r>
        <w:rPr/>
        <w:t xml:space="preserve">(2) This section expires July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youth hope act.</w:t>
      </w:r>
    </w:p>
    <w:p/>
    <w:p>
      <w:pPr>
        <w:jc w:val="center"/>
      </w:pPr>
      <w:r>
        <w:rPr>
          <w:b/>
        </w:rPr>
        <w:t>--- END ---</w:t>
      </w:r>
    </w:p>
    <w:sectPr>
      <w:pgNumType w:start="1"/>
      <w:footerReference xmlns:r="http://schemas.openxmlformats.org/officeDocument/2006/relationships" r:id="R3a201f59d74b43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a2c7028ef14cfe" /><Relationship Type="http://schemas.openxmlformats.org/officeDocument/2006/relationships/footer" Target="/word/footer1.xml" Id="R3a201f59d74b437c" /></Relationships>
</file>