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9ff70439b4509" /></Relationships>
</file>

<file path=word/document.xml><?xml version="1.0" encoding="utf-8"?>
<w:document xmlns:w="http://schemas.openxmlformats.org/wordprocessingml/2006/main">
  <w:body>
    <w:p>
      <w:r>
        <w:t>S-0435.2</w:t>
      </w:r>
    </w:p>
    <w:p>
      <w:pPr>
        <w:jc w:val="center"/>
      </w:pPr>
      <w:r>
        <w:t>_______________________________________________</w:t>
      </w:r>
    </w:p>
    <w:p/>
    <w:p>
      <w:pPr>
        <w:jc w:val="center"/>
      </w:pPr>
      <w:r>
        <w:rPr>
          <w:b/>
        </w:rPr>
        <w:t>SENATE BILL 5263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Braun, Bateman, Chapman, Conway, Dhingra, Frame, Krishnadasan, Liias, Nobles, Orwall, Salomon, Shewmake, Stanford, Valdez, and C. Wilson</w:t>
      </w:r>
    </w:p>
    <w:p/>
    <w:p>
      <w:r>
        <w:rPr>
          <w:t xml:space="preserve">Read first time 01/14/25.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and 28A.150.392;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receiving special education services are entitled, under both federal and state law, to a free appropriate public education that enables their full participation.</w:t>
      </w:r>
    </w:p>
    <w:p>
      <w:pPr>
        <w:spacing w:before="0" w:after="0" w:line="408" w:lineRule="exact"/>
        <w:ind w:left="0" w:right="0" w:firstLine="576"/>
        <w:jc w:val="left"/>
      </w:pPr>
      <w:r>
        <w:rPr/>
        <w:t xml:space="preserve">The legislature finds that special education is part of the state's statutory program of basic education that is deemed by the legislature to implement Article IX, section 1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2024 c 229 s 1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1.2</w:t>
      </w:r>
      <w:r>
        <w:t>))</w:t>
      </w:r>
      <w:r>
        <w:rPr/>
        <w:t xml:space="preserve"> </w:t>
      </w:r>
      <w:r>
        <w:rPr>
          <w:u w:val="single"/>
        </w:rPr>
        <w:t xml:space="preserve">1.6381</w:t>
      </w:r>
      <w:r>
        <w:rPr/>
        <w:t xml:space="preserve">;</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r>
        <w:t>((</w:t>
      </w:r>
      <w:r>
        <w:rPr>
          <w:strike/>
        </w:rPr>
        <w:t xml:space="preserve">:</w:t>
      </w:r>
    </w:p>
    <w:p>
      <w:pPr>
        <w:spacing w:before="0" w:after="0" w:line="408" w:lineRule="exact"/>
        <w:ind w:left="0" w:right="0" w:firstLine="576"/>
        <w:jc w:val="left"/>
      </w:pP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 Beginning in the 2023-24 school year,</w:t>
      </w:r>
      <w:r>
        <w:rPr>
          <w:strike/>
        </w:rPr>
        <w:t xml:space="preserve"> either:</w:t>
      </w:r>
    </w:p>
    <w:p>
      <w:pPr>
        <w:spacing w:before="0" w:after="0" w:line="408" w:lineRule="exact"/>
        <w:ind w:left="0" w:right="0" w:firstLine="576"/>
        <w:jc w:val="left"/>
      </w:pPr>
      <w:r>
        <w:rPr>
          <w:strike/>
        </w:rPr>
        <w:t xml:space="preserve">(I) 1.12</w:t>
      </w:r>
      <w:r>
        <w:rPr>
          <w:strike/>
        </w:rPr>
        <w:t xml:space="preserve">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1.06</w:t>
      </w:r>
      <w:r>
        <w:rPr>
          <w:strike/>
        </w:rPr>
        <w:t xml:space="preserve">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(ii) If the enrollment percent exceeds 16 percent, the excess cost allocation calculated under (b)(i) of this subsection must be adjusted by multiplying the allocation by 16 percent divided by the enrollment percen</w:t>
      </w:r>
      <w:r>
        <w:rPr>
          <w:strike/>
        </w:rPr>
        <w:t xml:space="preserve">t</w:t>
      </w:r>
      <w:r>
        <w:t>))</w:t>
      </w:r>
      <w:r>
        <w:rPr/>
        <w:t xml:space="preserve"> </w:t>
      </w:r>
      <w:r>
        <w:rPr>
          <w:u w:val="single"/>
        </w:rPr>
        <w:t xml:space="preserve">1.5289</w:t>
      </w:r>
      <w:r>
        <w:rPr/>
        <w:t xml:space="preserve">.</w:t>
      </w:r>
    </w:p>
    <w:p>
      <w:pPr>
        <w:spacing w:before="0" w:after="0" w:line="408" w:lineRule="exact"/>
        <w:ind w:left="0" w:right="0" w:firstLine="576"/>
        <w:jc w:val="left"/>
      </w:pPr>
      <w:r>
        <w:rPr/>
        <w:t xml:space="preserve">(3)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2024 c 127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When determining award eligibility and amounts</w:t>
      </w:r>
      <w:r>
        <w:t>((</w:t>
      </w:r>
      <w:r>
        <w:rPr>
          <w:strike/>
        </w:rPr>
        <w:t xml:space="preserve">[,]</w:t>
      </w:r>
      <w:r>
        <w:t>))</w:t>
      </w:r>
      <w:r>
        <w:rPr>
          <w:u w:val="single"/>
        </w:rPr>
        <w:t xml:space="preserve">,</w:t>
      </w:r>
      <w:r>
        <w:rPr/>
        <w:t xml:space="preserve">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unresolved audit findings or exceptions related to special education funding. 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(4)(a)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t>((</w:t>
      </w:r>
      <w:r>
        <w:rPr>
          <w:strike/>
        </w:rPr>
        <w:t xml:space="preserve">(a)</w:t>
      </w:r>
      <w:r>
        <w:t>))</w:t>
      </w:r>
      <w:r>
        <w:rPr/>
        <w:t xml:space="preserve"> Beginning in the </w:t>
      </w:r>
      <w:r>
        <w:t>((</w:t>
      </w:r>
      <w:r>
        <w:rPr>
          <w:strike/>
        </w:rPr>
        <w:t xml:space="preserve">2019-20</w:t>
      </w:r>
      <w:r>
        <w:t>))</w:t>
      </w:r>
      <w:r>
        <w:rPr/>
        <w:t xml:space="preserve"> </w:t>
      </w:r>
      <w:r>
        <w:rPr>
          <w:u w:val="single"/>
        </w:rPr>
        <w:t xml:space="preserve">2025-26</w:t>
      </w:r>
      <w:r>
        <w:rPr/>
        <w:t xml:space="preserve"> school year, a high-need student is eligible for safety net awards from state funding under subsection (2)(e) and (g) of this section if the student's individualized education program costs exceed </w:t>
      </w:r>
      <w:r>
        <w:t>((</w:t>
      </w:r>
      <w:r>
        <w:rPr>
          <w:strike/>
        </w:rPr>
        <w:t xml:space="preserve">two and three-tenths</w:t>
      </w:r>
      <w:r>
        <w:t>))</w:t>
      </w:r>
      <w:r>
        <w:rPr/>
        <w:t xml:space="preserve"> </w:t>
      </w:r>
      <w:r>
        <w:rPr>
          <w:u w:val="single"/>
        </w:rPr>
        <w:t xml:space="preserve">1.5</w:t>
      </w:r>
      <w:r>
        <w:rPr/>
        <w:t xml:space="preserve"> times the average per-pupil expenditure as defined in Title 20 U.S.C. Sec. 7801, the every student succeeds act of 2015</w:t>
      </w:r>
      <w:r>
        <w:t>((</w:t>
      </w:r>
      <w:r>
        <w:rPr>
          <w:strike/>
        </w:rPr>
        <w:t xml:space="preserve">.</w:t>
      </w:r>
    </w:p>
    <w:p>
      <w:pPr>
        <w:spacing w:before="0" w:after="0" w:line="408" w:lineRule="exact"/>
        <w:ind w:left="0" w:right="0" w:firstLine="576"/>
        <w:jc w:val="left"/>
      </w:pPr>
      <w:r>
        <w:rPr>
          <w:strike/>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strike/>
        </w:rPr>
        <w:t xml:space="preserve">(i) 2 times the average per-pupil expenditure, for school districts with fewer than 1,000 full-time equivalent students;</w:t>
      </w:r>
    </w:p>
    <w:p>
      <w:pPr>
        <w:spacing w:before="0" w:after="0" w:line="408" w:lineRule="exact"/>
        <w:ind w:left="0" w:right="0" w:firstLine="576"/>
        <w:jc w:val="left"/>
      </w:pPr>
      <w:r>
        <w:rPr>
          <w:strike/>
        </w:rPr>
        <w:t xml:space="preserve">(ii) 2.2 times the average per-pupil expenditure, for school districts with 1,000 or more full-time equivalent students.</w:t>
      </w:r>
    </w:p>
    <w:p>
      <w:pPr>
        <w:spacing w:before="0" w:after="0" w:line="408" w:lineRule="exact"/>
        <w:ind w:left="0" w:right="0" w:firstLine="576"/>
        <w:jc w:val="left"/>
      </w:pPr>
      <w:r>
        <w:rPr>
          <w:strike/>
        </w:rPr>
        <w:t xml:space="preserve">(c) For purposes of (b) of this subsection, "average per-pupil expenditure" has the same meaning as in 20 U.S.C. Sec. 7801, the every student succeeds act of 2015, and excludes</w:t>
      </w:r>
      <w:r>
        <w:t>))</w:t>
      </w:r>
      <w:r>
        <w:rPr>
          <w:u w:val="single"/>
        </w:rPr>
        <w:t xml:space="preserve">, excluding</w:t>
      </w:r>
      <w:r>
        <w:rPr/>
        <w:t xml:space="preserve"> safety net funding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79750181096d48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dddf425a0485c" /><Relationship Type="http://schemas.openxmlformats.org/officeDocument/2006/relationships/footer" Target="/word/footer1.xml" Id="R79750181096d486b" /></Relationships>
</file>