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4fe5f1ea46417e" /></Relationships>
</file>

<file path=word/document.xml><?xml version="1.0" encoding="utf-8"?>
<w:document xmlns:w="http://schemas.openxmlformats.org/wordprocessingml/2006/main">
  <w:body>
    <w:p>
      <w:r>
        <w:t>S-0525.1</w:t>
      </w:r>
    </w:p>
    <w:p>
      <w:pPr>
        <w:jc w:val="center"/>
      </w:pPr>
      <w:r>
        <w:t>_______________________________________________</w:t>
      </w:r>
    </w:p>
    <w:p/>
    <w:p>
      <w:pPr>
        <w:jc w:val="center"/>
      </w:pPr>
      <w:r>
        <w:rPr>
          <w:b/>
        </w:rPr>
        <w:t>SENATE BILL 5242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Harris, Hasegawa, Krishnadasan, Nobles, Shewmake, Valdez, and C. Wilson</w:t>
      </w:r>
    </w:p>
    <w:p/>
    <w:p>
      <w:r>
        <w:rPr>
          <w:t xml:space="preserve">Read first time 01/14/25.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interactive screening program to improve access to behavioral health resources for health care providers; and adding new sections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contract with a nonprofit entity to establish an interactive program to improve access to behavioral health resources for health care providers. The program must:</w:t>
      </w:r>
    </w:p>
    <w:p>
      <w:pPr>
        <w:spacing w:before="0" w:after="0" w:line="408" w:lineRule="exact"/>
        <w:ind w:left="0" w:right="0" w:firstLine="576"/>
        <w:jc w:val="left"/>
      </w:pPr>
      <w:r>
        <w:rPr/>
        <w:t xml:space="preserve">(a) Be evidence-based;</w:t>
      </w:r>
    </w:p>
    <w:p>
      <w:pPr>
        <w:spacing w:before="0" w:after="0" w:line="408" w:lineRule="exact"/>
        <w:ind w:left="0" w:right="0" w:firstLine="576"/>
        <w:jc w:val="left"/>
      </w:pPr>
      <w:r>
        <w:rPr/>
        <w:t xml:space="preserve">(b) Be available to any individual holding a professional credential subject to chapter 18.130 RCW;</w:t>
      </w:r>
    </w:p>
    <w:p>
      <w:pPr>
        <w:spacing w:before="0" w:after="0" w:line="408" w:lineRule="exact"/>
        <w:ind w:left="0" w:right="0" w:firstLine="576"/>
        <w:jc w:val="left"/>
      </w:pPr>
      <w:r>
        <w:rPr/>
        <w:t xml:space="preserve">(c) Utilize a screening questionnaire, the results of which are to be reviewed by a counselor to triage the user's level of distress;</w:t>
      </w:r>
    </w:p>
    <w:p>
      <w:pPr>
        <w:spacing w:before="0" w:after="0" w:line="408" w:lineRule="exact"/>
        <w:ind w:left="0" w:right="0" w:firstLine="576"/>
        <w:jc w:val="left"/>
      </w:pPr>
      <w:r>
        <w:rPr/>
        <w:t xml:space="preserve">(d) Allow the user to remain anonymous;</w:t>
      </w:r>
    </w:p>
    <w:p>
      <w:pPr>
        <w:spacing w:before="0" w:after="0" w:line="408" w:lineRule="exact"/>
        <w:ind w:left="0" w:right="0" w:firstLine="576"/>
        <w:jc w:val="left"/>
      </w:pPr>
      <w:r>
        <w:rPr/>
        <w:t xml:space="preserve">(e) Provide services which are completely confidential;</w:t>
      </w:r>
    </w:p>
    <w:p>
      <w:pPr>
        <w:spacing w:before="0" w:after="0" w:line="408" w:lineRule="exact"/>
        <w:ind w:left="0" w:right="0" w:firstLine="576"/>
        <w:jc w:val="left"/>
      </w:pPr>
      <w:r>
        <w:rPr/>
        <w:t xml:space="preserve">(f) Allow the user to interact with the counselor via email or receive a referral for treatment; and</w:t>
      </w:r>
    </w:p>
    <w:p>
      <w:pPr>
        <w:spacing w:before="0" w:after="0" w:line="408" w:lineRule="exact"/>
        <w:ind w:left="0" w:right="0" w:firstLine="576"/>
        <w:jc w:val="left"/>
      </w:pPr>
      <w:r>
        <w:rPr/>
        <w:t xml:space="preserve">(g) Include facilitation of paid medical leave requests for mental health conditions related to or exacerbated by clinician distress and burnout.</w:t>
      </w:r>
    </w:p>
    <w:p>
      <w:pPr>
        <w:spacing w:before="0" w:after="0" w:line="408" w:lineRule="exact"/>
        <w:ind w:left="0" w:right="0" w:firstLine="576"/>
        <w:jc w:val="left"/>
      </w:pPr>
      <w:r>
        <w:rPr/>
        <w:t xml:space="preserve">(2) The costs of the program must be financed by an annual surcharge added to the licensing fee for every licensed health professional subject to chapter 18.130 RCW. The amount of the surcharge must be uniform across professions and set by the secretary in rule. The surcharges must be placed in the interactive screening program account created in section 2 of this act to be used solely to support the program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interactive screening program account is created in the custody of the state treasurer. All receipts from surcharges collected under section 1 of this act must be deposited into the account. Expenditures from the account may be used only for support of the program established in section 1 of this act. Only the secretary or the secretary's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4789c79cb96440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706c523c4447a8" /><Relationship Type="http://schemas.openxmlformats.org/officeDocument/2006/relationships/footer" Target="/word/footer1.xml" Id="R4789c79cb9644047" /></Relationships>
</file>