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f56ff5c5c3408b" /></Relationships>
</file>

<file path=word/document.xml><?xml version="1.0" encoding="utf-8"?>
<w:document xmlns:w="http://schemas.openxmlformats.org/wordprocessingml/2006/main">
  <w:body>
    <w:p>
      <w:r>
        <w:t>S-0085.1</w:t>
      </w:r>
    </w:p>
    <w:p>
      <w:pPr>
        <w:jc w:val="center"/>
      </w:pPr>
      <w:r>
        <w:t>_______________________________________________</w:t>
      </w:r>
    </w:p>
    <w:p/>
    <w:p>
      <w:pPr>
        <w:jc w:val="center"/>
      </w:pPr>
      <w:r>
        <w:rPr>
          <w:b/>
        </w:rPr>
        <w:t>SENATE BILL 5205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Nobles, and Wellman</w:t>
      </w:r>
    </w:p>
    <w:p/>
    <w:p>
      <w:r>
        <w:rPr>
          <w:t xml:space="preserve">Prefiled 01/09/25.</w:t>
        </w:rPr>
      </w:r>
      <w:r>
        <w:rPr>
          <w:t xml:space="preserve">Read first time 01/13/25.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college grant award amounts; amending RCW 28B.92.030; and adding new sections to chapter 28B.92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2022 c 166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w:t>
      </w:r>
      <w:r>
        <w:t>((</w:t>
      </w:r>
      <w:r>
        <w:rPr>
          <w:strike/>
        </w:rPr>
        <w:t xml:space="preserve">twenty</w:t>
      </w:r>
      <w:r>
        <w:t>))</w:t>
      </w:r>
      <w:r>
        <w:rPr/>
        <w:t xml:space="preserve"> </w:t>
      </w:r>
      <w:r>
        <w:rPr>
          <w:u w:val="single"/>
        </w:rPr>
        <w:t xml:space="preserve">20</w:t>
      </w:r>
      <w:r>
        <w:rPr/>
        <w:t xml:space="preserve"> consecutive years within the state of Washington, and has an annual enrollment of at least </w:t>
      </w:r>
      <w:r>
        <w:t>((</w:t>
      </w:r>
      <w:r>
        <w:rPr>
          <w:strike/>
        </w:rPr>
        <w:t xml:space="preserve">seven hundred</w:t>
      </w:r>
      <w:r>
        <w:t>))</w:t>
      </w:r>
      <w:r>
        <w:rPr/>
        <w:t xml:space="preserve"> </w:t>
      </w:r>
      <w:r>
        <w:rPr>
          <w:u w:val="single"/>
        </w:rPr>
        <w:t xml:space="preserve">700</w:t>
      </w:r>
      <w:r>
        <w:rPr/>
        <w:t xml:space="preserve">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w:t>
      </w:r>
      <w:r>
        <w:rPr>
          <w:u w:val="single"/>
        </w:rPr>
        <w:t xml:space="preserve">that have signed the affidavit as provided for under section 2 of this act and are not subject to a prefinding settlement or a final court order under section 3 of this act</w:t>
      </w:r>
      <w:r>
        <w:rPr/>
        <w:t xml:space="preserve">,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w:t>
      </w:r>
      <w:r>
        <w:rPr>
          <w:u w:val="single"/>
        </w:rPr>
        <w:t xml:space="preserve">that have signed the affidavit as provided for under section 2 of this act and are not subject to a prefinding settlement or a final court order under section 3 of this act</w:t>
      </w:r>
      <w:r>
        <w:rPr/>
        <w:t xml:space="preserve">, </w:t>
      </w:r>
      <w:r>
        <w:t>((</w:t>
      </w:r>
      <w:r>
        <w:rPr>
          <w:strike/>
        </w:rPr>
        <w:t xml:space="preserve">in the 2019-20 academic year, is nine thousand seven hundred thirty-nine dollars and may</w:t>
      </w:r>
      <w:r>
        <w:t>))</w:t>
      </w:r>
      <w:r>
        <w:rPr/>
        <w:t xml:space="preserve"> </w:t>
      </w:r>
      <w:r>
        <w:rPr>
          <w:u w:val="single"/>
        </w:rPr>
        <w:t xml:space="preserve">is $9,739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w:t>
      </w:r>
      <w:r>
        <w:rPr>
          <w:u w:val="single"/>
        </w:rPr>
        <w:t xml:space="preserve">that have signed the affidavit as provided for under section 2 of this act and are not subject to a prefinding settlement or a final court order under section 3 of this act</w:t>
      </w:r>
      <w:r>
        <w:rPr/>
        <w:t xml:space="preserve">, </w:t>
      </w:r>
      <w:r>
        <w:t>((</w:t>
      </w:r>
      <w:r>
        <w:rPr>
          <w:strike/>
        </w:rPr>
        <w:t xml:space="preserve">in the 2019-20 academic year, is three thousand six hundred ninety-four dollars and may</w:t>
      </w:r>
      <w:r>
        <w:t>))</w:t>
      </w:r>
      <w:r>
        <w:rPr/>
        <w:t xml:space="preserve"> </w:t>
      </w:r>
      <w:r>
        <w:rPr>
          <w:u w:val="single"/>
        </w:rPr>
        <w:t xml:space="preserve">is $3,694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w:t>
      </w:r>
      <w:r>
        <w:rPr>
          <w:u w:val="single"/>
        </w:rPr>
        <w:t xml:space="preserve">that have signed the affidavit as provided for under section 2 of this act and are not subject to a prefinding settlement or a final court order under section 3 of this act</w:t>
      </w:r>
      <w:r>
        <w:rPr/>
        <w:t xml:space="preserve">, </w:t>
      </w:r>
      <w:r>
        <w:t>((</w:t>
      </w:r>
      <w:r>
        <w:rPr>
          <w:strike/>
        </w:rPr>
        <w:t xml:space="preserve">in the 2019-20 academic year, is eight thousand five hundred seventeen dollars and may</w:t>
      </w:r>
      <w:r>
        <w:t>))</w:t>
      </w:r>
      <w:r>
        <w:rPr/>
        <w:t xml:space="preserve"> </w:t>
      </w:r>
      <w:r>
        <w:rPr>
          <w:u w:val="single"/>
        </w:rPr>
        <w:t xml:space="preserve">is $8,517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w:t>
      </w:r>
      <w:r>
        <w:rPr>
          <w:u w:val="single"/>
        </w:rPr>
        <w:t xml:space="preserve">that have signed the affidavit as provided for under section 2 of this act and are not subject to a prefinding settlement or a final court order under section 3 of this act</w:t>
      </w:r>
      <w:r>
        <w:rPr/>
        <w:t xml:space="preserve">, </w:t>
      </w:r>
      <w:r>
        <w:t>((</w:t>
      </w:r>
      <w:r>
        <w:rPr>
          <w:strike/>
        </w:rPr>
        <w:t xml:space="preserve">in the 2019-20 academic year, is two thousand eight hundred twenty-three dollars and may</w:t>
      </w:r>
      <w:r>
        <w:t>))</w:t>
      </w:r>
      <w:r>
        <w:rPr/>
        <w:t xml:space="preserve"> </w:t>
      </w:r>
      <w:r>
        <w:rPr>
          <w:u w:val="single"/>
        </w:rPr>
        <w:t xml:space="preserve">is $2,823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w:t>
      </w:r>
      <w:r>
        <w:t>((</w:t>
      </w:r>
      <w:r>
        <w:rPr>
          <w:strike/>
        </w:rPr>
        <w:t xml:space="preserve">in the 2019-20 academic year, is five thousand six hundred nineteen dollars and may</w:t>
      </w:r>
      <w:r>
        <w:t>))</w:t>
      </w:r>
      <w:r>
        <w:rPr/>
        <w:t xml:space="preserve"> </w:t>
      </w:r>
      <w:r>
        <w:rPr>
          <w:u w:val="single"/>
        </w:rPr>
        <w:t xml:space="preserve">upon signing the affidavit as provided for under section 2 of this act and subject to section 3 of this act, is $5,619 and must</w:t>
      </w:r>
      <w:r>
        <w:rPr/>
        <w:t xml:space="preserve"> increase each year </w:t>
      </w:r>
      <w:r>
        <w:t>((</w:t>
      </w:r>
      <w:r>
        <w:rPr>
          <w:strike/>
        </w:rPr>
        <w:t xml:space="preserve">afterwards</w:t>
      </w:r>
      <w:r>
        <w:t>))</w:t>
      </w:r>
      <w:r>
        <w:rPr/>
        <w:t xml:space="preserve"> </w:t>
      </w:r>
      <w:r>
        <w:rPr>
          <w:u w:val="single"/>
        </w:rPr>
        <w:t xml:space="preserve">beginning in the 2025-26 academic year</w:t>
      </w:r>
      <w:r>
        <w:rPr/>
        <w:t xml:space="preserve"> by no more than the tuition growth factor.</w:t>
      </w:r>
    </w:p>
    <w:p>
      <w:pPr>
        <w:spacing w:before="0" w:after="0" w:line="408" w:lineRule="exact"/>
        <w:ind w:left="0" w:right="0" w:firstLine="576"/>
        <w:jc w:val="left"/>
      </w:pPr>
      <w:r>
        <w:rPr/>
        <w:t xml:space="preserve">(g) </w:t>
      </w:r>
      <w:r>
        <w:rPr>
          <w:u w:val="single"/>
        </w:rPr>
        <w:t xml:space="preserve">For students attending two or four-year institutions of higher education as defined in RCW 28B.10.016 that do not sign the affidavit as provided for under section 2 of this act or are subject to a prefinding settlement or a final court order under section 3 of this act, is the equivalent of academic year 2024-25 tuition and estimated fees for 15 quarter credit hours or the equivalent, as determined by the office, including operating fees, building fees, and services and activities fees.</w:t>
      </w:r>
    </w:p>
    <w:p>
      <w:pPr>
        <w:spacing w:before="0" w:after="0" w:line="408" w:lineRule="exact"/>
        <w:ind w:left="0" w:right="0" w:firstLine="576"/>
        <w:jc w:val="left"/>
      </w:pPr>
      <w:r>
        <w:rPr>
          <w:u w:val="single"/>
        </w:rPr>
        <w:t xml:space="preserve">(h) For students attending private four-year not-for-profit institutions of higher education in Washington that do not sign the affidavit as provided for under section 2 of this act or are subject to a prefinding settlement or a final court order under section 3 of this act, is $9,739.</w:t>
      </w:r>
    </w:p>
    <w:p>
      <w:pPr>
        <w:spacing w:before="0" w:after="0" w:line="408" w:lineRule="exact"/>
        <w:ind w:left="0" w:right="0" w:firstLine="576"/>
        <w:jc w:val="left"/>
      </w:pPr>
      <w:r>
        <w:rPr>
          <w:u w:val="single"/>
        </w:rPr>
        <w:t xml:space="preserve">(i) For students attending two-year private not-for-profit institutions of higher education in Washington that do not sign the affidavit as provided for under section 2 of this act or are subject to a prefinding settlement or a final court order under section 3 of this act, is $3,694.</w:t>
      </w:r>
    </w:p>
    <w:p>
      <w:pPr>
        <w:spacing w:before="0" w:after="0" w:line="408" w:lineRule="exact"/>
        <w:ind w:left="0" w:right="0" w:firstLine="576"/>
        <w:jc w:val="left"/>
      </w:pPr>
      <w:r>
        <w:rPr>
          <w:u w:val="single"/>
        </w:rPr>
        <w:t xml:space="preserve">(j) For students attending four-year private for-profit institutions of higher education in Washington that do not sign the affidavit as provided for under section 2 of this act or are subject to a prefinding settlement or a final court order under section 3 of this act, is $8,517.</w:t>
      </w:r>
    </w:p>
    <w:p>
      <w:pPr>
        <w:spacing w:before="0" w:after="0" w:line="408" w:lineRule="exact"/>
        <w:ind w:left="0" w:right="0" w:firstLine="576"/>
        <w:jc w:val="left"/>
      </w:pPr>
      <w:r>
        <w:rPr>
          <w:u w:val="single"/>
        </w:rPr>
        <w:t xml:space="preserve">(k) For students attending two-year private for-profit institutions of higher education in Washington that do not sign the affidavit as provided for under section 2 of this act or are subject to a prefinding settlement or a final court order under section 3 of this act, is $2,823.</w:t>
      </w:r>
    </w:p>
    <w:p>
      <w:pPr>
        <w:spacing w:before="0" w:after="0" w:line="408" w:lineRule="exact"/>
        <w:ind w:left="0" w:right="0" w:firstLine="576"/>
        <w:jc w:val="left"/>
      </w:pPr>
      <w:r>
        <w:rPr>
          <w:u w:val="single"/>
        </w:rPr>
        <w:t xml:space="preserve">(l) For students attending Western Governors University-Washington, as established in RCW 28B.77.240, and Western Governors University-Washington does not sign the affidavit as provided for under section 2 of this act or is subject to a prefinding settlement or a final court order under section 3 of this act, is $5,619.</w:t>
      </w:r>
    </w:p>
    <w:p>
      <w:pPr>
        <w:spacing w:before="0" w:after="0" w:line="408" w:lineRule="exact"/>
        <w:ind w:left="0" w:right="0" w:firstLine="576"/>
        <w:jc w:val="left"/>
      </w:pPr>
      <w:r>
        <w:rPr>
          <w:u w:val="single"/>
        </w:rPr>
        <w:t xml:space="preserve">(m)</w:t>
      </w:r>
      <w:r>
        <w:rPr/>
        <w:t xml:space="preserve"> For students attending approved apprenticeship programs, beginning in the 2022-23 academic year, is the same amount as the maximum Washington college grant for students attending two-year institutions of higher education as defined in (a) of this subsection to be used for tuition and fees, program supplies and equipment, and other costs that facilitate educational endeavors.</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administering the Washington college grant program, the office shall adopt rules to allow for each institution of higher education to annually sign an affidavit that the institution has adopted policies in compliance with this section. The maximum Washington college grant award must be adjusted as provided for in RCW 28B.92.030 for institutions of higher education that sign an affidavit attesting to the following nondiscrimination policies:</w:t>
      </w:r>
    </w:p>
    <w:p>
      <w:pPr>
        <w:spacing w:before="0" w:after="0" w:line="408" w:lineRule="exact"/>
        <w:ind w:left="0" w:right="0" w:firstLine="576"/>
        <w:jc w:val="left"/>
      </w:pPr>
      <w:r>
        <w:rPr/>
        <w:t xml:space="preserve">(a) The institution prohibits discrimination on the basis of race, creed, color, national origin, citizenship or immigration status, sex,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(b) The institution operates its education program or activity in a manner free of discrimination. No student may be excluded from participation in an education program or activity, denied the benefits of an education program or activity, or subjected to discrimination on the basis of that student's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a bona fide qualification of the education program; and</w:t>
      </w:r>
    </w:p>
    <w:p>
      <w:pPr>
        <w:spacing w:before="0" w:after="0" w:line="408" w:lineRule="exact"/>
        <w:ind w:left="0" w:right="0" w:firstLine="576"/>
        <w:jc w:val="left"/>
      </w:pPr>
      <w:r>
        <w:rPr/>
        <w:t xml:space="preserve">(c) The institution, acting in its capacity as an employer, must not:</w:t>
      </w:r>
    </w:p>
    <w:p>
      <w:pPr>
        <w:spacing w:before="0" w:after="0" w:line="408" w:lineRule="exact"/>
        <w:ind w:left="0" w:right="0" w:firstLine="576"/>
        <w:jc w:val="left"/>
      </w:pPr>
      <w:r>
        <w:rPr/>
        <w:t xml:space="preserve">(i) Refuse to hire, promote, or confer tenure to any person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a bona fide occupational qualification. However, the prohibition against discrimination because of a disability in this subsection does not apply if the particular disability prevents the proper performance of the particular work involved. This subsection may not be construed to require an employer to establish employment goals or quotas based on sexual orientation;</w:t>
      </w:r>
    </w:p>
    <w:p>
      <w:pPr>
        <w:spacing w:before="0" w:after="0" w:line="408" w:lineRule="exact"/>
        <w:ind w:left="0" w:right="0" w:firstLine="576"/>
        <w:jc w:val="left"/>
      </w:pPr>
      <w:r>
        <w:rPr/>
        <w:t xml:space="preserve">(ii) Discharge or bar any person from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(iii) Discriminate against any person in compensation or in other terms or conditions of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However, this section does not prohibit an employer from segregating washrooms or locker facilities on the basis of sex, or basing other terms and conditions of employment on the sex of employees where the Washington state human rights commission, created under chapter 49.60 RCW, has by regulation or ruling in a particular instance found the employment practice to be appropriate for the practical realization of equality of opportunity between the sexes; or</w:t>
      </w:r>
    </w:p>
    <w:p>
      <w:pPr>
        <w:spacing w:before="0" w:after="0" w:line="408" w:lineRule="exact"/>
        <w:ind w:left="0" w:right="0" w:firstLine="576"/>
        <w:jc w:val="left"/>
      </w:pPr>
      <w:r>
        <w:rPr/>
        <w:t xml:space="preserve">(iv)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However, nothing in this subsection prohibits advertising in a foreign language.</w:t>
      </w:r>
    </w:p>
    <w:p>
      <w:pPr>
        <w:spacing w:before="0" w:after="0" w:line="408" w:lineRule="exact"/>
        <w:ind w:left="0" w:right="0" w:firstLine="576"/>
        <w:jc w:val="left"/>
      </w:pPr>
      <w:r>
        <w:rPr/>
        <w:t xml:space="preserve">(2) Participation in theology academic programs and campus ministry departments, including the employment, promotion, or granting of tenure of faculty members for courses of study in theology, is exempt from the requirements under this section.</w:t>
      </w:r>
    </w:p>
    <w:p>
      <w:pPr>
        <w:spacing w:before="0" w:after="0" w:line="408" w:lineRule="exact"/>
        <w:ind w:left="0" w:right="0" w:firstLine="576"/>
        <w:jc w:val="left"/>
      </w:pPr>
      <w:r>
        <w:rPr/>
        <w:t xml:space="preserve">(3) Institutions of higher education that take no action regarding the signing of the affidavit shall receive the maximum Washington college grant as provided for under RCW 28B.92.030.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Any institution of higher education subject to a prefinding settlement or a final court order for discriminatory employment practices in violation of chapter 49.60 RCW are not eligible for adjustments to the maximum Washington college grant award as provided for in RCW 28B.92.030(5) unless:</w:t>
      </w:r>
    </w:p>
    <w:p>
      <w:pPr>
        <w:spacing w:before="0" w:after="0" w:line="408" w:lineRule="exact"/>
        <w:ind w:left="0" w:right="0" w:firstLine="576"/>
        <w:jc w:val="left"/>
      </w:pPr>
      <w:r>
        <w:rPr/>
        <w:t xml:space="preserve">(a) The institution of higher education has fulfilled the conditions or obligations associated with any court order or settlement resulting from the violation; or</w:t>
      </w:r>
    </w:p>
    <w:p>
      <w:pPr>
        <w:spacing w:before="0" w:after="0" w:line="408" w:lineRule="exact"/>
        <w:ind w:left="0" w:right="0" w:firstLine="576"/>
        <w:jc w:val="left"/>
      </w:pPr>
      <w:r>
        <w:rPr/>
        <w:t xml:space="preserve">(b) The institution of higher education has taken significant and meaningful steps to correct the violation, as determined by the Washington state human rights commission in matters in which the commission is a party.</w:t>
      </w:r>
    </w:p>
    <w:p>
      <w:pPr>
        <w:spacing w:before="0" w:after="0" w:line="408" w:lineRule="exact"/>
        <w:ind w:left="0" w:right="0" w:firstLine="576"/>
        <w:jc w:val="left"/>
      </w:pPr>
      <w:r>
        <w:rPr/>
        <w:t xml:space="preserve">(2) An institution of higher education involved in a court proceeding brought by the attorney general under RCW 49.60.350 may continue to receive the tuition growth factor provided in RCW 28B.92.030 until a final order adjudicates the matter.</w:t>
      </w:r>
    </w:p>
    <w:p/>
    <w:p>
      <w:pPr>
        <w:jc w:val="center"/>
      </w:pPr>
      <w:r>
        <w:rPr>
          <w:b/>
        </w:rPr>
        <w:t>--- END ---</w:t>
      </w:r>
    </w:p>
    <w:sectPr>
      <w:pgNumType w:start="1"/>
      <w:footerReference xmlns:r="http://schemas.openxmlformats.org/officeDocument/2006/relationships" r:id="Rf2b149ffd21248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c3179fd23c4f41" /><Relationship Type="http://schemas.openxmlformats.org/officeDocument/2006/relationships/footer" Target="/word/footer1.xml" Id="Rf2b149ffd2124822" /></Relationships>
</file>