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97306ba7e14871" /></Relationships>
</file>

<file path=word/document.xml><?xml version="1.0" encoding="utf-8"?>
<w:document xmlns:w="http://schemas.openxmlformats.org/wordprocessingml/2006/main">
  <w:body>
    <w:p>
      <w:r>
        <w:t>S-0513.1</w:t>
      </w:r>
    </w:p>
    <w:p>
      <w:pPr>
        <w:jc w:val="center"/>
      </w:pPr>
      <w:r>
        <w:t>_______________________________________________</w:t>
      </w:r>
    </w:p>
    <w:p/>
    <w:p>
      <w:pPr>
        <w:jc w:val="center"/>
      </w:pPr>
      <w:r>
        <w:rPr>
          <w:b/>
        </w:rPr>
        <w:t>SENATE BILL 5199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Frame, Hasegawa, Lovelett, Lovick, Nobles, and Riccelli</w:t>
      </w:r>
    </w:p>
    <w:p/>
    <w:p>
      <w:r>
        <w:rPr>
          <w:t xml:space="preserve">Prefiled 01/09/25.</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compensation to members of the department of children, youth, and families oversight board with direct lived experience; and amending RCW 43.216.015.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2021 c 304 s 4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In addition to transparent, frequent reporting of the outcome measures in (c)(i) through (viii) of this subsection, the department must report to the legislature an examination of engagement, resource utilization, and outcomes for clients receiving department services and youth participating in juvenile court alternative programs funded by the department, no less than annually and beginning September 1, 2020. The data in this report must be disaggregated by race, ethnicity, and geography. This report must identify areas of focus to advance equity that will inform department strategies so that all children, youth, and families are thriving. Metrics detailing progress towards eliminating disparities and disproportionality over time must also be included. The report must also include information on department outcome measures, actions taken, progress toward these goals, and plans for the future year.</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child care centers, outdoor nature-based child care,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Eliminating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board must work with the secretary and director to develop the most effective and cost-efficient ways to make department data available to the public, including making this data readily available on the department's website.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(8)(a) The board shall begin its work and call the first meeting of the board on or after July 1, 2018. The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to the board between July 1, 2018, and July 1, 2019.</w:t>
      </w:r>
    </w:p>
    <w:p>
      <w:pPr>
        <w:spacing w:before="0" w:after="0" w:line="408" w:lineRule="exact"/>
        <w:ind w:left="0" w:right="0" w:firstLine="576"/>
        <w:jc w:val="left"/>
      </w:pPr>
      <w:r>
        <w:rPr/>
        <w:t xml:space="preserve">(b) The office of the family and children's ombuds shall establish the board. The board is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(9)(a) The board shall consist of the following members:</w:t>
      </w:r>
    </w:p>
    <w:p>
      <w:pPr>
        <w:spacing w:before="0" w:after="0" w:line="408" w:lineRule="exact"/>
        <w:ind w:left="0" w:right="0" w:firstLine="576"/>
        <w:jc w:val="left"/>
      </w:pPr>
      <w:r>
        <w:rPr/>
        <w:t xml:space="preserve">(i) Two senators and two representatives from the legislature with one member from each major caucus;</w:t>
      </w:r>
    </w:p>
    <w:p>
      <w:pPr>
        <w:spacing w:before="0" w:after="0" w:line="408" w:lineRule="exact"/>
        <w:ind w:left="0" w:right="0" w:firstLine="576"/>
        <w:jc w:val="left"/>
      </w:pPr>
      <w:r>
        <w:rPr/>
        <w:t xml:space="preserve">(ii) One nonvoting representative from the governor's office;</w:t>
      </w:r>
    </w:p>
    <w:p>
      <w:pPr>
        <w:spacing w:before="0" w:after="0" w:line="408" w:lineRule="exact"/>
        <w:ind w:left="0" w:right="0" w:firstLine="576"/>
        <w:jc w:val="left"/>
      </w:pPr>
      <w:r>
        <w:rPr/>
        <w:t xml:space="preserve">(iii) One subject matter expert in early learning;</w:t>
      </w:r>
    </w:p>
    <w:p>
      <w:pPr>
        <w:spacing w:before="0" w:after="0" w:line="408" w:lineRule="exact"/>
        <w:ind w:left="0" w:right="0" w:firstLine="576"/>
        <w:jc w:val="left"/>
      </w:pPr>
      <w:r>
        <w:rPr/>
        <w:t xml:space="preserve">(iv) One subject matter expert in child welfare;</w:t>
      </w:r>
    </w:p>
    <w:p>
      <w:pPr>
        <w:spacing w:before="0" w:after="0" w:line="408" w:lineRule="exact"/>
        <w:ind w:left="0" w:right="0" w:firstLine="576"/>
        <w:jc w:val="left"/>
      </w:pPr>
      <w:r>
        <w:rPr/>
        <w:t xml:space="preserve">(v) One subject matter expert in juvenile rehabilitation and justice;</w:t>
      </w:r>
    </w:p>
    <w:p>
      <w:pPr>
        <w:spacing w:before="0" w:after="0" w:line="408" w:lineRule="exact"/>
        <w:ind w:left="0" w:right="0" w:firstLine="576"/>
        <w:jc w:val="left"/>
      </w:pPr>
      <w:r>
        <w:rPr/>
        <w:t xml:space="preserve">(vi) One subject matter expert in eliminating disparities in child outcomes by family income and race and ethnicity;</w:t>
      </w:r>
    </w:p>
    <w:p>
      <w:pPr>
        <w:spacing w:before="0" w:after="0" w:line="408" w:lineRule="exact"/>
        <w:ind w:left="0" w:right="0" w:firstLine="576"/>
        <w:jc w:val="left"/>
      </w:pPr>
      <w:r>
        <w:rPr/>
        <w:t xml:space="preserve">(vii) One tribal representative from west of the crest of the Cascade mountains;</w:t>
      </w:r>
    </w:p>
    <w:p>
      <w:pPr>
        <w:spacing w:before="0" w:after="0" w:line="408" w:lineRule="exact"/>
        <w:ind w:left="0" w:right="0" w:firstLine="576"/>
        <w:jc w:val="left"/>
      </w:pPr>
      <w:r>
        <w:rPr/>
        <w:t xml:space="preserve">(viii) One tribal representative from east of the crest of the Cascade mountains;</w:t>
      </w:r>
    </w:p>
    <w:p>
      <w:pPr>
        <w:spacing w:before="0" w:after="0" w:line="408" w:lineRule="exact"/>
        <w:ind w:left="0" w:right="0" w:firstLine="576"/>
        <w:jc w:val="left"/>
      </w:pPr>
      <w:r>
        <w:rPr/>
        <w:t xml:space="preserve">(ix) One current or former foster parent representative;</w:t>
      </w:r>
    </w:p>
    <w:p>
      <w:pPr>
        <w:spacing w:before="0" w:after="0" w:line="408" w:lineRule="exact"/>
        <w:ind w:left="0" w:right="0" w:firstLine="576"/>
        <w:jc w:val="left"/>
      </w:pPr>
      <w:r>
        <w:rPr/>
        <w:t xml:space="preserve">(x) One representative of an organization that advocates for the best interest of the child;</w:t>
      </w:r>
    </w:p>
    <w:p>
      <w:pPr>
        <w:spacing w:before="0" w:after="0" w:line="408" w:lineRule="exact"/>
        <w:ind w:left="0" w:right="0" w:firstLine="576"/>
        <w:jc w:val="left"/>
      </w:pPr>
      <w:r>
        <w:rPr/>
        <w:t xml:space="preserve">(xi) One parent stakeholder group representative;</w:t>
      </w:r>
    </w:p>
    <w:p>
      <w:pPr>
        <w:spacing w:before="0" w:after="0" w:line="408" w:lineRule="exact"/>
        <w:ind w:left="0" w:right="0" w:firstLine="576"/>
        <w:jc w:val="left"/>
      </w:pPr>
      <w:r>
        <w:rPr/>
        <w:t xml:space="preserve">(xii) One law enforcement representative;</w:t>
      </w:r>
    </w:p>
    <w:p>
      <w:pPr>
        <w:spacing w:before="0" w:after="0" w:line="408" w:lineRule="exact"/>
        <w:ind w:left="0" w:right="0" w:firstLine="576"/>
        <w:jc w:val="left"/>
      </w:pPr>
      <w:r>
        <w:rPr/>
        <w:t xml:space="preserve">(xiii) One child welfare caseworker representative;</w:t>
      </w:r>
    </w:p>
    <w:p>
      <w:pPr>
        <w:spacing w:before="0" w:after="0" w:line="408" w:lineRule="exact"/>
        <w:ind w:left="0" w:right="0" w:firstLine="576"/>
        <w:jc w:val="left"/>
      </w:pPr>
      <w:r>
        <w:rPr/>
        <w:t xml:space="preserve">(xiv) One early childhood learning program implementation practitioner;</w:t>
      </w:r>
    </w:p>
    <w:p>
      <w:pPr>
        <w:spacing w:before="0" w:after="0" w:line="408" w:lineRule="exact"/>
        <w:ind w:left="0" w:right="0" w:firstLine="576"/>
        <w:jc w:val="left"/>
      </w:pPr>
      <w:r>
        <w:rPr/>
        <w:t xml:space="preserve">(xv) One current or former foster youth under age twenty-five;</w:t>
      </w:r>
    </w:p>
    <w:p>
      <w:pPr>
        <w:spacing w:before="0" w:after="0" w:line="408" w:lineRule="exact"/>
        <w:ind w:left="0" w:right="0" w:firstLine="576"/>
        <w:jc w:val="left"/>
      </w:pPr>
      <w:r>
        <w:rPr/>
        <w:t xml:space="preserve">(xvi) One individual under age twenty-five with current or previous experience with the juvenile justice system;</w:t>
      </w:r>
    </w:p>
    <w:p>
      <w:pPr>
        <w:spacing w:before="0" w:after="0" w:line="408" w:lineRule="exact"/>
        <w:ind w:left="0" w:right="0" w:firstLine="576"/>
        <w:jc w:val="left"/>
      </w:pPr>
      <w:r>
        <w:rPr/>
        <w:t xml:space="preserve">(xvii) One physician with experience working with children or youth; and</w:t>
      </w:r>
    </w:p>
    <w:p>
      <w:pPr>
        <w:spacing w:before="0" w:after="0" w:line="408" w:lineRule="exact"/>
        <w:ind w:left="0" w:right="0" w:firstLine="576"/>
        <w:jc w:val="left"/>
      </w:pPr>
      <w:r>
        <w:rPr/>
        <w:t xml:space="preserve">(xviii)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When nominating and approving members after July 28, 2019, the governor and appointed legislators must ensure that at least five of the board members reside east of the crest of the Cascade mountains.</w:t>
      </w:r>
    </w:p>
    <w:p>
      <w:pPr>
        <w:spacing w:before="0" w:after="0" w:line="408" w:lineRule="exact"/>
        <w:ind w:left="0" w:right="0" w:firstLine="576"/>
        <w:jc w:val="left"/>
      </w:pPr>
      <w:r>
        <w:rPr/>
        <w:t xml:space="preserve">(10) The board has the following powers, which may be exercised by majority vote of the board:</w:t>
      </w:r>
    </w:p>
    <w:p>
      <w:pPr>
        <w:spacing w:before="0" w:after="0" w:line="408" w:lineRule="exact"/>
        <w:ind w:left="0" w:right="0" w:firstLine="576"/>
        <w:jc w:val="left"/>
      </w:pPr>
      <w:r>
        <w:rPr/>
        <w:t xml:space="preserve">(a) To receive reports of the office of the family and children's ombuds;</w:t>
      </w:r>
    </w:p>
    <w:p>
      <w:pPr>
        <w:spacing w:before="0" w:after="0" w:line="408" w:lineRule="exact"/>
        <w:ind w:left="0" w:right="0" w:firstLine="576"/>
        <w:jc w:val="left"/>
      </w:pPr>
      <w:r>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office of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is achieving the performance measures;</w:t>
      </w:r>
    </w:p>
    <w:p>
      <w:pPr>
        <w:spacing w:before="0" w:after="0" w:line="408" w:lineRule="exact"/>
        <w:ind w:left="0" w:right="0" w:firstLine="576"/>
        <w:jc w:val="left"/>
      </w:pPr>
      <w:r>
        <w:rPr/>
        <w:t xml:space="preserve">(g) If final review is requested by a licensee, to review whether department licensors appropriately and consistently applied agency rules in inspection reports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t xml:space="preserve">(11) The board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(12) The board must no less than twice per year convene stakeholder meetings to allow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(13)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(14)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rPr/>
        <w:t xml:space="preserve">(15)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(16) </w:t>
      </w:r>
      <w:r>
        <w:t>((</w:t>
      </w:r>
      <w:r>
        <w:rPr>
          <w:strike/>
        </w:rPr>
        <w:t xml:space="preserve">The</w:t>
      </w:r>
      <w:r>
        <w:t>))</w:t>
      </w:r>
      <w:r>
        <w:rPr/>
        <w:t xml:space="preserve"> </w:t>
      </w:r>
      <w:r>
        <w:rPr>
          <w:u w:val="single"/>
        </w:rPr>
        <w:t xml:space="preserve">Unless specified otherwise,</w:t>
      </w:r>
      <w:r>
        <w:rPr/>
        <w:t xml:space="preserve"> board members shall receive no compensation for their service on the board, but shall be reimbursed for travel expenses incurred while conducting business of the board when authorized by the board and within resources allocated for this purpose</w:t>
      </w:r>
      <w:r>
        <w:t>((</w:t>
      </w:r>
      <w:r>
        <w:rPr>
          <w:strike/>
        </w:rPr>
        <w:t xml:space="preserve">, except appointed</w:t>
      </w:r>
      <w:r>
        <w:t>))</w:t>
      </w:r>
      <w:r>
        <w:rPr>
          <w:u w:val="single"/>
        </w:rPr>
        <w:t xml:space="preserve">. Appointed</w:t>
      </w:r>
      <w:r>
        <w:rPr/>
        <w:t xml:space="preserve"> legislators </w:t>
      </w:r>
      <w:r>
        <w:t>((</w:t>
      </w:r>
      <w:r>
        <w:rPr>
          <w:strike/>
        </w:rPr>
        <w:t xml:space="preserve">who</w:t>
      </w:r>
      <w:r>
        <w:t>))</w:t>
      </w:r>
      <w:r>
        <w:rPr/>
        <w:t xml:space="preserve"> shall be reimbursed for travel expenses in accordance with RCW 43.03.050 and 43.03.060. </w:t>
      </w:r>
      <w:r>
        <w:rPr>
          <w:u w:val="single"/>
        </w:rPr>
        <w:t xml:space="preserve">Board members with direct lived experience may receive compensation as provided in RCW 43.03.220 and 43.03.270 and are entitled to be reimbursed for travel expenses as provided in 43.03.050 and 43.03.060.</w:t>
      </w:r>
    </w:p>
    <w:p>
      <w:pPr>
        <w:spacing w:before="0" w:after="0" w:line="408" w:lineRule="exact"/>
        <w:ind w:left="0" w:right="0" w:firstLine="576"/>
        <w:jc w:val="left"/>
      </w:pPr>
      <w:r>
        <w:rPr/>
        <w:t xml:space="preserve">(17)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(18) The board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(19) The board shall issue an annual report to the governor and legislature by December 1st of each year with an initial report delivered by December 1, 2019. The report must review the department's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subsection (8) of this section.</w:t>
      </w:r>
    </w:p>
    <w:p>
      <w:pPr>
        <w:spacing w:before="0" w:after="0" w:line="408" w:lineRule="exact"/>
        <w:ind w:left="0" w:right="0" w:firstLine="576"/>
        <w:jc w:val="left"/>
      </w:pPr>
      <w:r>
        <w:rPr/>
        <w:t xml:space="preserve">(b) </w:t>
      </w:r>
      <w:r>
        <w:rPr>
          <w:u w:val="single"/>
        </w:rPr>
        <w:t xml:space="preserve">"Direct lived experience" has the same meaning as provided in RCW 43.03.220.</w:t>
      </w:r>
    </w:p>
    <w:p>
      <w:pPr>
        <w:spacing w:before="0" w:after="0" w:line="408" w:lineRule="exact"/>
        <w:ind w:left="0" w:right="0" w:firstLine="576"/>
        <w:jc w:val="left"/>
      </w:pPr>
      <w:r>
        <w:rPr>
          <w:u w:val="single"/>
        </w:rPr>
        <w:t xml:space="preserve">(c)</w:t>
      </w:r>
      <w:r>
        <w:rPr/>
        <w:t xml:space="preserve"> "Director" means the director of the office of innovation, alignment, and accountability.</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
      <w:pPr>
        <w:jc w:val="center"/>
      </w:pPr>
      <w:r>
        <w:rPr>
          <w:b/>
        </w:rPr>
        <w:t>--- END ---</w:t>
      </w:r>
    </w:p>
    <w:sectPr>
      <w:pgNumType w:start="1"/>
      <w:footerReference xmlns:r="http://schemas.openxmlformats.org/officeDocument/2006/relationships" r:id="Re000cad2785b41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9c173a711e4e7f" /><Relationship Type="http://schemas.openxmlformats.org/officeDocument/2006/relationships/footer" Target="/word/footer1.xml" Id="Re000cad2785b4108" /></Relationships>
</file>