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4cd1b5aa44ad1" /></Relationships>
</file>

<file path=word/document.xml><?xml version="1.0" encoding="utf-8"?>
<w:document xmlns:w="http://schemas.openxmlformats.org/wordprocessingml/2006/main">
  <w:body>
    <w:p>
      <w:r>
        <w:t>S-0860.1</w:t>
      </w:r>
    </w:p>
    <w:p>
      <w:pPr>
        <w:jc w:val="center"/>
      </w:pPr>
      <w:r>
        <w:t>_______________________________________________</w:t>
      </w:r>
    </w:p>
    <w:p/>
    <w:p>
      <w:pPr>
        <w:jc w:val="center"/>
      </w:pPr>
      <w:r>
        <w:rPr>
          <w:b/>
        </w:rPr>
        <w:t>SUBSTITUTE SENATE BILL 5133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C. Wilson, Trudeau, Hasegawa, Nobles, and Saldaña; by request of Administrative Office of the Courts)</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departures from the guidelines for caregiver status;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defendant's caregiver status as a primary parent, legal guardian, or custodian with physical custody of a minor child, or status as primary caregiver for other family members, including elders and grandchildren </w:t>
      </w:r>
      <w:r>
        <w:rPr>
          <w:u w:val="single"/>
        </w:rPr>
        <w:t xml:space="preserve">if the defendant does not have:</w:t>
      </w:r>
    </w:p>
    <w:p>
      <w:pPr>
        <w:spacing w:before="0" w:after="0" w:line="408" w:lineRule="exact"/>
        <w:ind w:left="0" w:right="0" w:firstLine="576"/>
        <w:jc w:val="left"/>
      </w:pPr>
      <w:r>
        <w:rPr>
          <w:u w:val="single"/>
        </w:rPr>
        <w:t xml:space="preserve">(i) A substantiated finding of abuse or neglect with the department of children, youth, and families;</w:t>
      </w:r>
    </w:p>
    <w:p>
      <w:pPr>
        <w:spacing w:before="0" w:after="0" w:line="408" w:lineRule="exact"/>
        <w:ind w:left="0" w:right="0" w:firstLine="576"/>
        <w:jc w:val="left"/>
      </w:pPr>
      <w:r>
        <w:rPr>
          <w:u w:val="single"/>
        </w:rPr>
        <w:t xml:space="preserve">(ii) A substantiated finding of abuse or neglect with a tribal child welfare agency;</w:t>
      </w:r>
    </w:p>
    <w:p>
      <w:pPr>
        <w:spacing w:before="0" w:after="0" w:line="408" w:lineRule="exact"/>
        <w:ind w:left="0" w:right="0" w:firstLine="576"/>
        <w:jc w:val="left"/>
      </w:pPr>
      <w:r>
        <w:rPr>
          <w:u w:val="single"/>
        </w:rPr>
        <w:t xml:space="preserve">(iii) An order currently restraining the defendant from contacting the person for whom the defendant is claiming caregiver status;</w:t>
      </w:r>
    </w:p>
    <w:p>
      <w:pPr>
        <w:spacing w:before="0" w:after="0" w:line="408" w:lineRule="exact"/>
        <w:ind w:left="0" w:right="0" w:firstLine="576"/>
        <w:jc w:val="left"/>
      </w:pPr>
      <w:r>
        <w:rPr>
          <w:u w:val="single"/>
        </w:rPr>
        <w:t xml:space="preserve">(iv) A conviction in which the person for whom the defendant is claiming caregiver status was the victim; or</w:t>
      </w:r>
    </w:p>
    <w:p>
      <w:pPr>
        <w:spacing w:before="0" w:after="0" w:line="408" w:lineRule="exact"/>
        <w:ind w:left="0" w:right="0" w:firstLine="576"/>
        <w:jc w:val="left"/>
      </w:pPr>
      <w:r>
        <w:rPr>
          <w:u w:val="single"/>
        </w:rPr>
        <w:t xml:space="preserve">(v) A conviction that included a finding that the offense occurred within sight or sound of the victim's or the offender's minor children under the age of 18</w:t>
      </w:r>
      <w:r>
        <w:rPr>
          <w:u w:val="single"/>
        </w:rPr>
        <w:t xml:space="preserve">.</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w:t>
      </w:r>
      <w:r>
        <w:t>((</w:t>
      </w:r>
      <w:r>
        <w:rPr>
          <w:strike/>
        </w:rPr>
        <w:t xml:space="preserve">(4)</w:t>
      </w:r>
      <w:r>
        <w:t>))</w:t>
      </w:r>
      <w:r>
        <w:rPr/>
        <w:t xml:space="preserve"> </w:t>
      </w:r>
      <w:r>
        <w:rPr>
          <w:u w:val="single"/>
        </w:rPr>
        <w:t xml:space="preserve">(7)</w:t>
      </w:r>
      <w:r>
        <w:rPr/>
        <w:t xml:space="preserve">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50fd3f6836c949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facae7221d4c1b" /><Relationship Type="http://schemas.openxmlformats.org/officeDocument/2006/relationships/footer" Target="/word/footer1.xml" Id="R50fd3f6836c949c8" /></Relationships>
</file>