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50a808a8a4d46" /></Relationships>
</file>

<file path=word/document.xml><?xml version="1.0" encoding="utf-8"?>
<w:document xmlns:w="http://schemas.openxmlformats.org/wordprocessingml/2006/main">
  <w:body>
    <w:p>
      <w:r>
        <w:t>S-1986.1</w:t>
      </w:r>
    </w:p>
    <w:p>
      <w:pPr>
        <w:jc w:val="center"/>
      </w:pPr>
      <w:r>
        <w:t>_______________________________________________</w:t>
      </w:r>
    </w:p>
    <w:p/>
    <w:p>
      <w:pPr>
        <w:jc w:val="center"/>
      </w:pPr>
      <w:r>
        <w:rPr>
          <w:b/>
        </w:rPr>
        <w:t>SECOND SUBSTITUTE SENATE BILL 5098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Valdez, Saldaña, Dhingra, Frame, Nobles, Orwall, Pedersen, Salomon, Stanford, Wellman,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on the premises of state or local public buildings, parks or playground facilities where children are likely to be present, and county fairs and county fair facilities;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2024 c 285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t>((</w:t>
      </w:r>
      <w:r>
        <w:rPr>
          <w:strike/>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t>))</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(f) The premises of a library established or maintained pursuant to the authority of chapter 27.12 RCW;</w:t>
      </w:r>
    </w:p>
    <w:p>
      <w:pPr>
        <w:spacing w:before="0" w:after="0" w:line="408" w:lineRule="exact"/>
        <w:ind w:left="0" w:right="0" w:firstLine="576"/>
        <w:jc w:val="left"/>
      </w:pPr>
      <w:r>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w:t>
      </w:r>
      <w:r>
        <w:t>((</w:t>
      </w:r>
      <w:r>
        <w:rPr>
          <w:strike/>
        </w:rPr>
        <w:t xml:space="preserve">or</w:t>
      </w:r>
      <w:r>
        <w:t>))</w:t>
      </w:r>
    </w:p>
    <w:p>
      <w:pPr>
        <w:spacing w:before="0" w:after="0" w:line="408" w:lineRule="exact"/>
        <w:ind w:left="0" w:right="0" w:firstLine="576"/>
        <w:jc w:val="left"/>
      </w:pPr>
      <w:r>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u w:val="single"/>
        </w:rPr>
        <w:t xml:space="preserve">;</w:t>
      </w:r>
    </w:p>
    <w:p>
      <w:pPr>
        <w:spacing w:before="0" w:after="0" w:line="408" w:lineRule="exact"/>
        <w:ind w:left="0" w:right="0" w:firstLine="576"/>
        <w:jc w:val="left"/>
      </w:pPr>
      <w:r>
        <w:rPr>
          <w:u w:val="single"/>
        </w:rPr>
        <w:t xml:space="preserve">(i) The premises of a city's, town's, county's, or other municipality's neighborhood, community, or regional park facilities at which children are likely to be present. Cities, towns, counties, and other municipalities shall designate the park facilities within its boundaries where children are likely to be present and post appropriate signage at common access points of the park facility's premises to notify the public that weapons are prohibited within the park facility. Park facilities where children and youth are likely to be present include, but are not limited to, park facilities that have: Playgrounds or children's play areas; sports fields; swim beaches or water play areas; teen centers, community centers, or performing arts centers; skate parks; and other recreational facilities likely to be used by children or youth</w:t>
      </w:r>
      <w:r>
        <w:rPr>
          <w:u w:val="single"/>
        </w:rPr>
        <w:t xml:space="preserve">;</w:t>
      </w:r>
    </w:p>
    <w:p>
      <w:pPr>
        <w:spacing w:before="0" w:after="0" w:line="408" w:lineRule="exact"/>
        <w:ind w:left="0" w:right="0" w:firstLine="576"/>
        <w:jc w:val="left"/>
      </w:pPr>
      <w:r>
        <w:rPr>
          <w:u w:val="single"/>
        </w:rPr>
        <w:t xml:space="preserve">(j) The premises of a state or local public building. A "state or local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public employees as a place of residence. A state or local public building does not include Washington state department of transportation properties and facilities such as ferry terminals, ferry holding lanes, safety rest areas, and train depots which are used primarily by the general traveling public; in such areas weapons must remain in locked cases or remain in a locked portion of a vehicle; or</w:t>
      </w:r>
    </w:p>
    <w:p>
      <w:pPr>
        <w:spacing w:before="0" w:after="0" w:line="408" w:lineRule="exact"/>
        <w:ind w:left="0" w:right="0" w:firstLine="576"/>
        <w:jc w:val="left"/>
      </w:pPr>
      <w:r>
        <w:rPr>
          <w:u w:val="single"/>
        </w:rPr>
        <w:t xml:space="preserve">(k) The premises of county fairs and county fair facilities during the hours of operation in which the fair is open to the public. For the purpose of this subsection, "county fair" means fairs organized to serve the interests of single counties and are under county commissioner jurisdiction. This prohibition does not apply to gun shows operating on county fairgrounds</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t>((</w:t>
      </w:r>
      <w:r>
        <w:rPr>
          <w:strike/>
        </w:rPr>
        <w:t xml:space="preserve">(iii) "Weapon" has the same meaning given in subsection (1)(b) of this section.</w:t>
      </w:r>
      <w:r>
        <w:t>))</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As soon as practicable, the</w:t>
      </w:r>
      <w:r>
        <w:rPr/>
        <w:t xml:space="preserve"> perimeter of the premises of any specific location covered by subsection (1) of this section shall be posted at </w:t>
      </w:r>
      <w:r>
        <w:t>((</w:t>
      </w:r>
      <w:r>
        <w:rPr>
          <w:strike/>
        </w:rPr>
        <w:t xml:space="preserve">reasonable intervals</w:t>
      </w:r>
      <w:r>
        <w:t>))</w:t>
      </w:r>
      <w:r>
        <w:rPr/>
        <w:t xml:space="preserve"> </w:t>
      </w:r>
      <w:r>
        <w:rPr>
          <w:u w:val="single"/>
        </w:rPr>
        <w:t xml:space="preserve">common public access points</w:t>
      </w:r>
      <w:r>
        <w:rPr/>
        <w:t xml:space="preserve">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w:t>
      </w:r>
      <w:r>
        <w:t>((</w:t>
      </w:r>
      <w:r>
        <w:rPr>
          <w:strike/>
        </w:rPr>
        <w:t xml:space="preserve">or</w:t>
      </w:r>
      <w:r>
        <w:t>))</w:t>
      </w:r>
    </w:p>
    <w:p>
      <w:pPr>
        <w:spacing w:before="0" w:after="0" w:line="408" w:lineRule="exact"/>
        <w:ind w:left="0" w:right="0" w:firstLine="576"/>
        <w:jc w:val="left"/>
      </w:pPr>
      <w:r>
        <w:rPr/>
        <w:t xml:space="preserve">(c) Security personnel while engaged in official duties</w:t>
      </w:r>
      <w:r>
        <w:t>((</w:t>
      </w:r>
      <w:r>
        <w:rPr>
          <w:strike/>
        </w:rPr>
        <w:t xml:space="preserve">.</w:t>
      </w:r>
    </w:p>
    <w:p>
      <w:pPr>
        <w:spacing w:before="0" w:after="0" w:line="408" w:lineRule="exact"/>
        <w:ind w:left="0" w:right="0" w:firstLine="576"/>
        <w:jc w:val="left"/>
      </w:pPr>
      <w:r>
        <w:rPr>
          <w:strike/>
        </w:rPr>
        <w:t xml:space="preserve">(8) Subsection (1)(a), (b), (c), (e), (f), (g), and (h) of this section does not apply to correctional</w:t>
      </w:r>
      <w:r>
        <w:t>))</w:t>
      </w:r>
      <w:r>
        <w:rPr>
          <w:u w:val="single"/>
        </w:rPr>
        <w:t xml:space="preserve">; or</w:t>
      </w:r>
    </w:p>
    <w:p>
      <w:pPr>
        <w:spacing w:before="0" w:after="0" w:line="408" w:lineRule="exact"/>
        <w:ind w:left="0" w:right="0" w:firstLine="576"/>
        <w:jc w:val="left"/>
      </w:pPr>
      <w:r>
        <w:rPr>
          <w:u w:val="single"/>
        </w:rPr>
        <w:t xml:space="preserve">(d) Correctional</w:t>
      </w:r>
      <w:r>
        <w:rPr/>
        <w:t xml:space="preserve">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(8) </w:t>
      </w:r>
      <w:r>
        <w:rPr>
          <w:u w:val="single"/>
        </w:rPr>
        <w:t xml:space="preserve">Subsection (1) of this section does not apply to firearms either on loan or that are part of a museum collection that may be in the possession of museum staff, volunteers, or contractors when they are on the premises and engaging in activities directly related to their official museum duties. This includes, but is not limited to, work in support of or related to exhibitions, curation, collections management, educational programming, or other standard practices expected within the museum industry. Additionally, subsection (1) of this section does not apply to individuals bringing a firearm at a preapproved date and time to a museum for loan or donation to the museum.</w:t>
      </w:r>
    </w:p>
    <w:p>
      <w:pPr>
        <w:spacing w:before="0" w:after="0" w:line="408" w:lineRule="exact"/>
        <w:ind w:left="0" w:right="0" w:firstLine="576"/>
        <w:jc w:val="left"/>
      </w:pPr>
      <w:r>
        <w:rPr>
          <w:u w:val="single"/>
        </w:rPr>
        <w:t xml:space="preserve">(9)</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rPr/>
        <w:t xml:space="preserve">(13) Subsection (1)(f), (g), </w:t>
      </w:r>
      <w:r>
        <w:t>((</w:t>
      </w:r>
      <w:r>
        <w:rPr>
          <w:strike/>
        </w:rPr>
        <w:t xml:space="preserve">and</w:t>
      </w:r>
      <w:r>
        <w:t>))</w:t>
      </w:r>
      <w:r>
        <w:rPr/>
        <w:t xml:space="preserve"> (h)</w:t>
      </w:r>
      <w:r>
        <w:rPr>
          <w:u w:val="single"/>
        </w:rPr>
        <w:t xml:space="preserve">, (i), (j), and (k)</w:t>
      </w:r>
      <w:r>
        <w:rPr/>
        <w:t xml:space="preserve">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rPr/>
        <w:t xml:space="preserve">(14) Subsection (1)(f), (g), </w:t>
      </w:r>
      <w:r>
        <w:t>((</w:t>
      </w:r>
      <w:r>
        <w:rPr>
          <w:strike/>
        </w:rPr>
        <w:t xml:space="preserve">and</w:t>
      </w:r>
      <w:r>
        <w:t>))</w:t>
      </w:r>
      <w:r>
        <w:rPr/>
        <w:t xml:space="preserve"> (h)</w:t>
      </w:r>
      <w:r>
        <w:rPr>
          <w:u w:val="single"/>
        </w:rPr>
        <w:t xml:space="preserve">, (i), (j), and (k)</w:t>
      </w:r>
      <w:r>
        <w:rPr/>
        <w:t xml:space="preserve"> of this section does not apply to a person licensed to carry a concealed firearm pursuant to RCW 9.41.070.</w:t>
      </w:r>
    </w:p>
    <w:p>
      <w:pPr>
        <w:spacing w:before="0" w:after="0" w:line="408" w:lineRule="exact"/>
        <w:ind w:left="0" w:right="0" w:firstLine="576"/>
        <w:jc w:val="left"/>
      </w:pPr>
      <w:r>
        <w:rPr/>
        <w:t xml:space="preserve">(15)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(16) Any person violating subsection (1) or (2) of this section is guilty of a gross misdemeanor.</w:t>
      </w:r>
    </w:p>
    <w:p>
      <w:pPr>
        <w:spacing w:before="0" w:after="0" w:line="408" w:lineRule="exact"/>
        <w:ind w:left="0" w:right="0" w:firstLine="576"/>
        <w:jc w:val="left"/>
      </w:pPr>
      <w:r>
        <w:rPr/>
        <w:t xml:space="preserve">(17) "Weapon" as used in this section means </w:t>
      </w:r>
      <w:r>
        <w:t>((</w:t>
      </w:r>
      <w:r>
        <w:rPr>
          <w:strike/>
        </w:rPr>
        <w:t xml:space="preserve">any firearm, explosive as defined in RCW 70.74.010, or instrument or weapon listed in RCW 9.41.250</w:t>
      </w:r>
      <w:r>
        <w:t>))</w:t>
      </w:r>
      <w:r>
        <w:rPr/>
        <w:t xml:space="preserve"> </w:t>
      </w:r>
      <w:r>
        <w:rPr>
          <w:u w:val="single"/>
        </w:rPr>
        <w:t xml:space="preserve">any firearm, explosive as defined in RCW 70.74.010, or any instrument of the kind usually known as slungshot, sand club, or metal knuckles, or any knife, dagger, dirk, or other similar instrument that is capable of causing death or bodily injury and is commonly used with the intent to cause death or bodily injury</w:t>
      </w:r>
      <w:r>
        <w:rPr/>
        <w:t xml:space="preserve">.</w:t>
      </w:r>
    </w:p>
    <w:p>
      <w:pPr>
        <w:spacing w:before="0" w:after="0" w:line="408" w:lineRule="exact"/>
        <w:ind w:left="0" w:right="0" w:firstLine="576"/>
        <w:jc w:val="left"/>
      </w:pPr>
      <w:r>
        <w:rPr>
          <w:u w:val="single"/>
        </w:rPr>
        <w:t xml:space="preserve">(18) For the purposes of this section, "park facilities where children and youth are likely to be present" and "places of amusement" include, but are not limited to: Playgrounds or children's play areas; sports fields; swim beaches or water play areas; teen centers, community centers, or performing arts centers; skate parks; and other recreational facilities likely to be used by children or youth.</w:t>
      </w:r>
    </w:p>
    <w:p/>
    <w:p>
      <w:pPr>
        <w:jc w:val="center"/>
      </w:pPr>
      <w:r>
        <w:rPr>
          <w:b/>
        </w:rPr>
        <w:t>--- END ---</w:t>
      </w:r>
    </w:p>
    <w:sectPr>
      <w:pgNumType w:start="1"/>
      <w:footerReference xmlns:r="http://schemas.openxmlformats.org/officeDocument/2006/relationships" r:id="Rfa1360e5c05e4c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5fc50648974bc2" /><Relationship Type="http://schemas.openxmlformats.org/officeDocument/2006/relationships/footer" Target="/word/footer1.xml" Id="Rfa1360e5c05e4cf8" /></Relationships>
</file>