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2ba6e1fdb49a3" /></Relationships>
</file>

<file path=word/document.xml><?xml version="1.0" encoding="utf-8"?>
<w:document xmlns:w="http://schemas.openxmlformats.org/wordprocessingml/2006/main">
  <w:body>
    <w:p>
      <w:r>
        <w:t>S-0539.1</w:t>
      </w:r>
    </w:p>
    <w:p>
      <w:pPr>
        <w:jc w:val="center"/>
      </w:pPr>
      <w:r>
        <w:t>_______________________________________________</w:t>
      </w:r>
    </w:p>
    <w:p/>
    <w:p>
      <w:pPr>
        <w:jc w:val="center"/>
      </w:pPr>
      <w:r>
        <w:rPr>
          <w:b/>
        </w:rPr>
        <w:t>SUBSTITUTE SENATE BILL 5067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Lovick, McCune, Dhingra, Liias, Nobles, Orwall, Pedersen, Valdez, and Wellman; by request of Washington Traffic Safety Commission)</w:t>
      </w:r>
    </w:p>
    <w:p/>
    <w:p>
      <w:r>
        <w:rPr>
          <w:t xml:space="preserve">READ FIRST TIME 01/17/25.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46.61.504, 46.61.5055, 46.61.506, 46.20.308, 46.20.3101, 46.25.090, 38.38.760, and 79A.60.040;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per se 0.05 blood alcohol concentration level is the standard throughout most of the world. Norway was the first country to establish a per se blood alcohol concentration limit of 0.05 in 1936. Since then, most countries have adopted blood alcohol concentration limits of 0.05 or lower. Eighty-four percent of the world's population lives in countries with a blood alcohol concentration limit of 0.05 or lower. Studies on the impacts of these laws around the world have found that reducing the limit from 0.08 to 0.05 results in an average reduction of fatalities involving alcohol-impaired driving by 11 percent annually. The national highway traffic safety administration found that a driver's risk of crash involvement at 0.05 is double the rate of a sober driver, which increases to three times the risk at 0.07.</w:t>
      </w:r>
    </w:p>
    <w:p>
      <w:pPr>
        <w:spacing w:before="0" w:after="0" w:line="408" w:lineRule="exact"/>
        <w:ind w:left="0" w:right="0" w:firstLine="576"/>
        <w:jc w:val="left"/>
      </w:pPr>
      <w:r>
        <w:rPr/>
        <w:t xml:space="preserve">(2) The legislature finds and declares that 2023 was the deadliest year on Washington roads since 1990. Washington state saw 734 fatal crashes resulting in the death of more than 810 people. Half of all fatal crashes involve a driver impaired by drugs or alcohol, and the state saw a 59 percent increase in crashes involving an impaired driver between 2019 and 2023. This alarming upward trend must be addressed if Washington state is going to meet its goal of target zero. </w:t>
      </w:r>
    </w:p>
    <w:p>
      <w:pPr>
        <w:spacing w:before="0" w:after="0" w:line="408" w:lineRule="exact"/>
        <w:ind w:left="0" w:right="0" w:firstLine="576"/>
        <w:jc w:val="left"/>
      </w:pPr>
      <w:r>
        <w:rPr/>
        <w:t xml:space="preserve">(3) The increase in Washingtonians choosing to drive while impaired points to a need to adjust Washington's impaired driving laws. Utah lowered the blood alcohol concentration limit for operating a motor vehicle from 0.08 to 0.05 in 2018 and found that 22 percent of people who drank alcohol said they changed their behavior as a result of the new law. Given the increase in traffic fatalities from impaired driving, the legislature declares that it is time to keep Washington's roads safer and lower the number of fatal crashes caused by impaired drivers by lowering the blood alcohol limit to 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2024 c 306 s 30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2024 c 306 s 32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2024 c 306 s 31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24 consecutive hours nor more than 364 days. In lieu of the mandatory minimum term of imprisonment required under this subsection (1)(a)(i), the court, in its discretion, may order not less than 15 days of electronic home monitoring or a 90-day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$350 nor more than $5,000. $350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30 days nor more than 364 days and 60 days of electronic home monitoring. Thirty days of imprisonment and 60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180 days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45 days nor more than 364 days and 90 days of electronic home monitoring. Forty-five days of imprisonment and 90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$750 nor more than $5,000. $750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90 days nor more than 364 days, if available in that county or city, a six-month period of 24/7 sobriety program monitoring pursuant to RCW 36.28A.300 through 36.28A.390, and 120 days of electronic home monitoring. Ninety days of imprisonment and 120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90 days of imprisonment and 120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$1,000 nor more than $5,000. $1,000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120 days nor more than 364 days, if available in that county or city, a six-month period of 24/7 sobriety program monitoring pursuant to RCW 36.28A.300 through 36.28A.390, and 150 days of electronic home monitoring. One hundred twenty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$1,500 nor more than $5,000. $1,500 </w:t>
      </w:r>
      <w:r>
        <w:t>((</w:t>
      </w:r>
      <w:r>
        <w:rPr>
          <w:strike/>
        </w:rPr>
        <w:t xml:space="preserve">dollars</w:t>
      </w:r>
      <w:r>
        <w:t>))</w:t>
      </w:r>
      <w:r>
        <w:rPr/>
        <w:t xml:space="preserve">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15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15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16 were in the vehicle, the court shall:</w:t>
      </w:r>
    </w:p>
    <w:p>
      <w:pPr>
        <w:spacing w:before="0" w:after="0" w:line="408" w:lineRule="exact"/>
        <w:ind w:left="0" w:right="0" w:firstLine="576"/>
        <w:jc w:val="left"/>
      </w:pPr>
      <w:r>
        <w:rPr/>
        <w:t xml:space="preserve">(a) Order the use of an ignition interlock or other device for an additional 12 months for each passenger under the age of 16 when the person is subject to the penalties under subsection (1)(a), (2)(a), or (3)(a) of this section; and order the use of an ignition interlock device for an additional 18 months for each passenger under the age of 16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24 hours of imprisonment to be served consecutively for each passenger under the age of 16, and a fine of not less than $1,000 and not more than $5,000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16, and a fine of not less than $2,000 and not more than $5,000 for each passenger under the age of 16. One thousand dollars of the fine for each passenger under the age of 16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16, and a fine of not less than $3,000 and not more than $10,000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45 miles per hour or greater; and</w:t>
      </w:r>
    </w:p>
    <w:p>
      <w:pPr>
        <w:spacing w:before="0" w:after="0" w:line="408" w:lineRule="exact"/>
        <w:ind w:left="0" w:right="0" w:firstLine="576"/>
        <w:jc w:val="left"/>
      </w:pPr>
      <w:r>
        <w:rPr/>
        <w:t xml:space="preserve">(d) Whether a child passenger under the age of 16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90 days or until the person is evaluated by a substance use disorder agency or probation department pursuant to RCW 46.20.311 and the person completes or is enrolled in a 90-day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900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364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30 days, which shall not be suspended or deferred.</w:t>
      </w:r>
    </w:p>
    <w:p>
      <w:pPr>
        <w:spacing w:before="0" w:after="0" w:line="408" w:lineRule="exact"/>
        <w:ind w:left="0" w:right="0" w:firstLine="576"/>
        <w:jc w:val="left"/>
      </w:pPr>
      <w:r>
        <w:rPr/>
        <w:t xml:space="preserve">(c)(i) Except as provided in (c)(ii) of this subsection, for each incident involving a violation of a mandatory condition of probation imposed under this subsection, the license, permit, or privilege to drive of the person shall be suspended by the court for 30 days or, if such license, permit, or privilege to drive already is suspended, revoked, or denied at the time the finding of probation violation is made, the suspension, revocation, or denial then in effect shall be extended by 30 days. The court shall notify the department of any suspension, revocation, or denial or any extension of a suspension, revocation, or denial imposed under this subsection. The person may apply for an ignition interlock driver's license under RCW 46.20.385 during the suspension period.</w:t>
      </w:r>
    </w:p>
    <w:p>
      <w:pPr>
        <w:spacing w:before="0" w:after="0" w:line="408" w:lineRule="exact"/>
        <w:ind w:left="0" w:right="0" w:firstLine="576"/>
        <w:jc w:val="left"/>
      </w:pPr>
      <w:r>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364 days, the offender shall serve the jail portion of the sentence first, and the electronic home monitoring or alternative portion of the sentence shall be reduced so that the combination does not exceed 364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15 years" means that the arrest for a prior offense occurred within 15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2023 c 35 s 6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w:t>
      </w:r>
      <w:r>
        <w:t>((</w:t>
      </w:r>
      <w:r>
        <w:rPr>
          <w:strike/>
        </w:rPr>
        <w:t xml:space="preserve">0.08</w:t>
      </w:r>
      <w:r>
        <w:t>))</w:t>
      </w:r>
      <w:r>
        <w:rPr/>
        <w:t xml:space="preserve"> </w:t>
      </w:r>
      <w:r>
        <w:rPr>
          <w:u w:val="single"/>
        </w:rPr>
        <w:t xml:space="preserve">0.05</w:t>
      </w:r>
      <w:r>
        <w:rPr/>
        <w:t xml:space="preserve"> or more, or is 0.02 or more if the person is under age 21, or with a THC concentration of 5.00 nanograms per milliliter of whole blood or more, or a THC concentration above 0.00 if the person is under the age of 21,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10 years.</w:t>
      </w:r>
    </w:p>
    <w:p>
      <w:pPr>
        <w:spacing w:before="0" w:after="0" w:line="408" w:lineRule="exact"/>
        <w:ind w:left="0" w:right="0" w:firstLine="576"/>
        <w:jc w:val="left"/>
      </w:pPr>
      <w:r>
        <w:rPr/>
        <w:t xml:space="preserve">(4) A person is disqualified from driving a commercial motor vehicle for life who:</w:t>
      </w:r>
    </w:p>
    <w:p>
      <w:pPr>
        <w:spacing w:before="0" w:after="0" w:line="408" w:lineRule="exact"/>
        <w:ind w:left="0" w:right="0" w:firstLine="576"/>
        <w:jc w:val="left"/>
      </w:pPr>
      <w:r>
        <w:rPr/>
        <w:t xml:space="preserve">(a) Uses a motor vehicle in the commission of a felony involving the manufacture, distribution, or dispensing of a controlled substance, as defined by chapter 69.50 RCW, or possession with intent to manufacture, distribute, or dispense a controlled substance, as defined by chapter 69.50 RCW; or</w:t>
      </w:r>
    </w:p>
    <w:p>
      <w:pPr>
        <w:spacing w:before="0" w:after="0" w:line="408" w:lineRule="exact"/>
        <w:ind w:left="0" w:right="0" w:firstLine="576"/>
        <w:jc w:val="left"/>
      </w:pPr>
      <w:r>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60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120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180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10-year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10-year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180 days nor more than two years if the person is convicted of or is found to have committed a first violation of an out-of-service order while transporting hazardous materials, or while operating motor vehicles designed to transport 16 or more passengers, including the driver. A person is disqualified for a period of not less than three years nor more than five years if, during a 10-year period, the person is convicted of or is found to have committed subsequent violations of out-of-service orders, in separate incidents, while transporting hazardous materials, or while operating motor vehicles designed to transport </w:t>
      </w:r>
      <w:r>
        <w:t>((</w:t>
      </w:r>
      <w:r>
        <w:rPr>
          <w:strike/>
        </w:rPr>
        <w:t xml:space="preserve">sixteen</w:t>
      </w:r>
      <w:r>
        <w:t>))</w:t>
      </w:r>
      <w:r>
        <w:rPr/>
        <w:t xml:space="preserve"> </w:t>
      </w:r>
      <w:r>
        <w:rPr>
          <w:u w:val="single"/>
        </w:rPr>
        <w:t xml:space="preserve">16</w:t>
      </w:r>
      <w:r>
        <w:rPr/>
        <w:t xml:space="preserve"> or more passengers, including the driver.</w:t>
      </w:r>
    </w:p>
    <w:p>
      <w:pPr>
        <w:spacing w:before="0" w:after="0" w:line="408" w:lineRule="exact"/>
        <w:ind w:left="0" w:right="0" w:firstLine="576"/>
        <w:jc w:val="left"/>
      </w:pPr>
      <w:r>
        <w:rPr/>
        <w:t xml:space="preserve">(7)(a)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60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120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(8)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(9) Within 10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760</w:t>
      </w:r>
      <w:r>
        <w:rPr/>
        <w:t xml:space="preserve"> and 2009 c 378 s 24 are each amended to read as follows:</w:t>
      </w:r>
    </w:p>
    <w:p>
      <w:pPr>
        <w:spacing w:before="0" w:after="0" w:line="408" w:lineRule="exact"/>
        <w:ind w:left="0" w:right="0" w:firstLine="576"/>
        <w:jc w:val="left"/>
      </w:pPr>
      <w:r>
        <w:rPr/>
        <w:t xml:space="preserve">(1) Any person subject to this code who:</w:t>
      </w:r>
    </w:p>
    <w:p>
      <w:pPr>
        <w:spacing w:before="0" w:after="0" w:line="408" w:lineRule="exact"/>
        <w:ind w:left="0" w:right="0" w:firstLine="576"/>
        <w:jc w:val="left"/>
      </w:pPr>
      <w:r>
        <w:rPr/>
        <w:t xml:space="preserve">(a) Operates or physically controls any vehicle, aircraft, or vessel in a reckless or wanton manner or while impaired by a substance described in RCW 38.38.762; or</w:t>
      </w:r>
    </w:p>
    <w:p>
      <w:pPr>
        <w:spacing w:before="0" w:after="0" w:line="408" w:lineRule="exact"/>
        <w:ind w:left="0" w:right="0" w:firstLine="576"/>
        <w:jc w:val="left"/>
      </w:pPr>
      <w:r>
        <w:rPr/>
        <w:t xml:space="preserve">(b) Operates or is in actual physical control of any vehicle, aircraft, or vessel while drunk or when the alcohol concentration in the person's blood or breath is equal to or exceeds the applicable limit under subsection (2) of this section; or</w:t>
      </w:r>
    </w:p>
    <w:p>
      <w:pPr>
        <w:spacing w:before="0" w:after="0" w:line="408" w:lineRule="exact"/>
        <w:ind w:left="0" w:right="0" w:firstLine="576"/>
        <w:jc w:val="left"/>
      </w:pPr>
      <w:r>
        <w:rPr/>
        <w:t xml:space="preserve">(c) Operates or is in actual physical control of any vehicle, aircraft, or vessel in a reckless or wanton manner</w:t>
      </w:r>
    </w:p>
    <w:p>
      <w:pPr>
        <w:spacing w:before="0" w:after="0" w:line="408" w:lineRule="exact"/>
        <w:ind w:left="0" w:right="0" w:firstLine="0"/>
        <w:jc w:val="left"/>
      </w:pPr>
      <w:r>
        <w:rPr/>
        <w:t xml:space="preserve">shall be punished as a court-martial may direct.</w:t>
      </w:r>
    </w:p>
    <w:p>
      <w:pPr>
        <w:spacing w:before="0" w:after="0" w:line="408" w:lineRule="exact"/>
        <w:ind w:left="0" w:right="0" w:firstLine="576"/>
        <w:jc w:val="left"/>
      </w:pPr>
      <w:r>
        <w:rPr/>
        <w:t xml:space="preserve">(2) For purposes of subsection (1) of this section, the blood alcohol content limit with respect to alcohol concentration in a person's blood is </w:t>
      </w:r>
      <w:r>
        <w:t>((</w:t>
      </w:r>
      <w:r>
        <w:rPr>
          <w:strike/>
        </w:rPr>
        <w:t xml:space="preserve">0.08</w:t>
      </w:r>
      <w:r>
        <w:t>))</w:t>
      </w:r>
      <w:r>
        <w:rPr/>
        <w:t xml:space="preserve"> </w:t>
      </w:r>
      <w:r>
        <w:rPr>
          <w:u w:val="single"/>
        </w:rPr>
        <w:t xml:space="preserve">0.05</w:t>
      </w:r>
      <w:r>
        <w:rPr/>
        <w:t xml:space="preserve"> grams of alcohol per </w:t>
      </w:r>
      <w:r>
        <w:t>((</w:t>
      </w:r>
      <w:r>
        <w:rPr>
          <w:strike/>
        </w:rPr>
        <w:t xml:space="preserve">one hundred</w:t>
      </w:r>
      <w:r>
        <w:t>))</w:t>
      </w:r>
      <w:r>
        <w:rPr/>
        <w:t xml:space="preserve"> </w:t>
      </w:r>
      <w:r>
        <w:rPr>
          <w:u w:val="single"/>
        </w:rPr>
        <w:t xml:space="preserve">100</w:t>
      </w:r>
      <w:r>
        <w:rPr/>
        <w:t xml:space="preserve"> milliliters of blood and with respect to alcohol concentration in a person's breath is </w:t>
      </w:r>
      <w:r>
        <w:t>((</w:t>
      </w:r>
      <w:r>
        <w:rPr>
          <w:strike/>
        </w:rPr>
        <w:t xml:space="preserve">0.08</w:t>
      </w:r>
      <w:r>
        <w:t>))</w:t>
      </w:r>
      <w:r>
        <w:rPr/>
        <w:t xml:space="preserve"> </w:t>
      </w:r>
      <w:r>
        <w:rPr>
          <w:u w:val="single"/>
        </w:rPr>
        <w:t xml:space="preserve">0.05</w:t>
      </w:r>
      <w:r>
        <w:rPr/>
        <w:t xml:space="preserve"> grams of alcohol per </w:t>
      </w:r>
      <w:r>
        <w:t>((</w:t>
      </w:r>
      <w:r>
        <w:rPr>
          <w:strike/>
        </w:rPr>
        <w:t xml:space="preserve">two hundred ten</w:t>
      </w:r>
      <w:r>
        <w:t>))</w:t>
      </w:r>
      <w:r>
        <w:rPr/>
        <w:t xml:space="preserve"> </w:t>
      </w:r>
      <w:r>
        <w:rPr>
          <w:u w:val="single"/>
        </w:rPr>
        <w:t xml:space="preserve">210</w:t>
      </w:r>
      <w:r>
        <w:rPr/>
        <w:t xml:space="preserve"> liters of breath, as shown by chemical analysis.</w:t>
      </w:r>
    </w:p>
    <w:p>
      <w:pPr>
        <w:spacing w:before="0" w:after="0" w:line="408" w:lineRule="exact"/>
        <w:ind w:left="0" w:right="0" w:firstLine="576"/>
        <w:jc w:val="left"/>
      </w:pPr>
      <w:r>
        <w:rPr/>
        <w:t xml:space="preserve">(3) For purposes of this section, "blood alcohol content limit" means the amount of alcohol concentration in a person's blood or breath at which operation or control of a vehicle, aircraft, or vessel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2022 c 16 s 136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cannabis, or any drug. A person is considered to be under the influence of intoxicating liquor, cannabis, or any drug if, within two hours of operating a vessel:</w:t>
      </w:r>
    </w:p>
    <w:p>
      <w:pPr>
        <w:spacing w:before="0" w:after="0" w:line="408" w:lineRule="exact"/>
        <w:ind w:left="0" w:right="0" w:firstLine="576"/>
        <w:jc w:val="left"/>
      </w:pPr>
      <w:r>
        <w:rPr/>
        <w:t xml:space="preserve">(a) The person has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cannabis, or any drug; or</w:t>
      </w:r>
    </w:p>
    <w:p>
      <w:pPr>
        <w:spacing w:before="0" w:after="0" w:line="408" w:lineRule="exact"/>
        <w:ind w:left="0" w:right="0" w:firstLine="576"/>
        <w:jc w:val="left"/>
      </w:pPr>
      <w:r>
        <w:rPr/>
        <w:t xml:space="preserve">(d) The person is under the combined influence of or affected by intoxicating liquor, cannabis,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t xml:space="preserve">(7) For the purposes of this subsection, "cannabis"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March 1, 2029,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crashes;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46c3735de36a46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0ebb4a0104d79" /><Relationship Type="http://schemas.openxmlformats.org/officeDocument/2006/relationships/footer" Target="/word/footer1.xml" Id="R46c3735de36a468d" /></Relationships>
</file>