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34880d23411b" /></Relationships>
</file>

<file path=word/document.xml><?xml version="1.0" encoding="utf-8"?>
<w:document xmlns:w="http://schemas.openxmlformats.org/wordprocessingml/2006/main">
  <w:body>
    <w:p>
      <w:r>
        <w:t>S-0084.1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J. Wilson, Valdez, Nobles, and Wellman</w:t>
      </w:r>
    </w:p>
    <w:p/>
    <w:p>
      <w:r>
        <w:rPr>
          <w:t xml:space="preserve">Prefiled 12/04/24.</w:t>
        </w:rPr>
      </w:r>
      <w:r>
        <w:rPr>
          <w:t xml:space="preserve">Read first time 01/13/25.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a department of transportation map for the placement of campaign signage; and adding a new section to chapter 47.01 RCW. 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must develop and maintain a publicly available map that indicates all locations where temporary political campaign signs are permitted to be placed along any main-traveled way of the interstate system, primary system, or scenic system across the state. The map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All department-owned or managed land;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 locations where signs are prohibited because of a state highway right-of-way;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adjoining private or public land where signs are not prohibited due to proximity to an interstate system, primary system, scenic system, or state highway right-of-way;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Any department-owned or managed land where signs are permitted.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map must be available on the department website and prominently placed for public access.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may not remove any sign unless the map indicates that the sign is placed in a prohibited area.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9bac59c804349f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8938f41554ad4" /><Relationship Type="http://schemas.openxmlformats.org/officeDocument/2006/relationships/footer" Target="/word/footer1.xml" Id="R69bac59c804349f5" /></Relationships>
</file>