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f9e4fbb0604f88" /></Relationships>
</file>

<file path=word/document.xml><?xml version="1.0" encoding="utf-8"?>
<w:document xmlns:w="http://schemas.openxmlformats.org/wordprocessingml/2006/main">
  <w:body>
    <w:p>
      <w:r>
        <w:t>H-1103.1</w:t>
      </w:r>
    </w:p>
    <w:p>
      <w:pPr>
        <w:jc w:val="center"/>
      </w:pPr>
      <w:r>
        <w:t>_______________________________________________</w:t>
      </w:r>
    </w:p>
    <w:p/>
    <w:p>
      <w:pPr>
        <w:jc w:val="center"/>
      </w:pPr>
      <w:r>
        <w:rPr>
          <w:b/>
        </w:rPr>
        <w:t>HOUSE BILL 1835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Burnett, Graham, Ley, Abell, Schmidt, Davis, and Eslick</w:t>
      </w:r>
    </w:p>
    <w:p/>
    <w:p>
      <w:r>
        <w:rPr>
          <w:t xml:space="preserve">Read first time 02/04/25.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cannabis licensing decisions by the liquor and cannabis board with local zoning ordinances; and amending RCW 69.50.331 and 69.51A.250.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2023 c 220 s 2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cannabis, useable cannabis, cannabis concentrates, or cannabis-infused products subject to the regulations established under RCW 69.50.385, or sell cannabis, or for the renewal of a license to produce, process, research, transport, or deliver cannabis, useable cannabis, cannabis concentrates, or cannabis-infused products subject to the regulations established under RCW 69.50.385, or sell cannabis,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w:t>
      </w:r>
      <w:r>
        <w:t>((</w:t>
      </w:r>
      <w:r>
        <w:rPr>
          <w:strike/>
        </w:rPr>
        <w:t xml:space="preserve">chronic</w:t>
      </w:r>
      <w:r>
        <w:t>))</w:t>
      </w:r>
      <w:r>
        <w:rPr/>
        <w:t xml:space="preserve"> illegal activity documented in objections submitted pursuant to subsections </w:t>
      </w:r>
      <w:r>
        <w:t>((</w:t>
      </w:r>
      <w:r>
        <w:rPr>
          <w:strike/>
        </w:rPr>
        <w:t xml:space="preserve">(7)</w:t>
      </w:r>
      <w:r>
        <w:t>))</w:t>
      </w:r>
      <w:r>
        <w:rPr/>
        <w:t xml:space="preserve"> </w:t>
      </w:r>
      <w:r>
        <w:rPr>
          <w:u w:val="single"/>
        </w:rPr>
        <w:t xml:space="preserve">(8)</w:t>
      </w:r>
      <w:r>
        <w:rPr/>
        <w:t xml:space="preserve">(c) and </w:t>
      </w:r>
      <w:r>
        <w:t>((</w:t>
      </w:r>
      <w:r>
        <w:rPr>
          <w:strike/>
        </w:rPr>
        <w:t xml:space="preserve">(10)</w:t>
      </w:r>
      <w:r>
        <w:t>))</w:t>
      </w:r>
      <w:r>
        <w:rPr/>
        <w:t xml:space="preserve"> </w:t>
      </w:r>
      <w:r>
        <w:rPr>
          <w:u w:val="single"/>
        </w:rPr>
        <w:t xml:space="preserve">(11)</w:t>
      </w:r>
      <w:r>
        <w:rPr/>
        <w:t xml:space="preserve">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21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w:t>
      </w:r>
      <w:r>
        <w:t>((</w:t>
      </w:r>
      <w:r>
        <w:rPr>
          <w:strike/>
        </w:rPr>
        <w:t xml:space="preserve">or</w:t>
      </w:r>
      <w:r>
        <w:t>))</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r>
        <w:rPr>
          <w:u w:val="single"/>
        </w:rPr>
        <w:t xml:space="preserve">; or</w:t>
      </w:r>
    </w:p>
    <w:p>
      <w:pPr>
        <w:spacing w:before="0" w:after="0" w:line="408" w:lineRule="exact"/>
        <w:ind w:left="0" w:right="0" w:firstLine="576"/>
        <w:jc w:val="left"/>
      </w:pPr>
      <w:r>
        <w:rPr>
          <w:u w:val="single"/>
        </w:rPr>
        <w:t xml:space="preserve">(v) Any entity when there is a written objection from a city, town, county, port authority, or tribal government of a federally recognized Indian tribe, pursuant to subsection (7) of this section</w:t>
      </w:r>
      <w:r>
        <w:rPr/>
        <w:t xml:space="preserve">.</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cannabis, cannabis concentrates, useable cannabis, or cannabis-infused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cannabis, cannabis concentrates, useable cannabis, or cannabis-infused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21 years.</w:t>
      </w:r>
    </w:p>
    <w:p>
      <w:pPr>
        <w:spacing w:before="0" w:after="0" w:line="408" w:lineRule="exact"/>
        <w:ind w:left="0" w:right="0" w:firstLine="576"/>
        <w:jc w:val="left"/>
      </w:pPr>
      <w:r>
        <w:rPr/>
        <w:t xml:space="preserve">(7) </w:t>
      </w:r>
      <w:r>
        <w:rPr>
          <w:u w:val="single"/>
        </w:rPr>
        <w:t xml:space="preserve">The board may not issue a new or renewed cannabis license for any premises in which the city, town, county, port authority, or tribal government of a federally recognized Indian tribe, as applicable, has provided a written objection under subsection (8) of this section stating that the jurisdiction's local zoning ordinances prohibit the use of the property for activities authorized under the terms of the applicable cannabis license. For purposes of making licensing decisions in conformity with local zoning ordinances under this subsection, the board may rely on a written statement submitted to the board by the following entities, stating that the jurisdiction's local zoning ordinances either do or do not prohibit the use of the property for activities authorized under the terms of the cannabis license:</w:t>
      </w:r>
    </w:p>
    <w:p>
      <w:pPr>
        <w:spacing w:before="0" w:after="0" w:line="408" w:lineRule="exact"/>
        <w:ind w:left="0" w:right="0" w:firstLine="576"/>
        <w:jc w:val="left"/>
      </w:pPr>
      <w:r>
        <w:rPr>
          <w:u w:val="single"/>
        </w:rPr>
        <w:t xml:space="preserve">(a) The chief executive officer of the incorporated city or town if the application is for a license in an incorporated city or town;</w:t>
      </w:r>
    </w:p>
    <w:p>
      <w:pPr>
        <w:spacing w:before="0" w:after="0" w:line="408" w:lineRule="exact"/>
        <w:ind w:left="0" w:right="0" w:firstLine="576"/>
        <w:jc w:val="left"/>
      </w:pPr>
      <w:r>
        <w:rPr>
          <w:u w:val="single"/>
        </w:rPr>
        <w:t xml:space="preserve">(b) The county legislative authority if the application is for a license outside the boundaries of incorporated cities or towns;</w:t>
      </w:r>
    </w:p>
    <w:p>
      <w:pPr>
        <w:spacing w:before="0" w:after="0" w:line="408" w:lineRule="exact"/>
        <w:ind w:left="0" w:right="0" w:firstLine="576"/>
        <w:jc w:val="left"/>
      </w:pPr>
      <w:r>
        <w:rPr>
          <w:u w:val="single"/>
        </w:rPr>
        <w:t xml:space="preserve">(c) The port authority if the application is for a license on property owned by a port authority; or</w:t>
      </w:r>
    </w:p>
    <w:p>
      <w:pPr>
        <w:spacing w:before="0" w:after="0" w:line="408" w:lineRule="exact"/>
        <w:ind w:left="0" w:right="0" w:firstLine="576"/>
        <w:jc w:val="left"/>
      </w:pPr>
      <w:r>
        <w:rPr>
          <w:u w:val="single"/>
        </w:rPr>
        <w:t xml:space="preserve">(d) The tribal government if the application is for a license on property within Indian country, as defined in 18 U.S.C. Sec. 1151, including any fee patent lands within the exterior boundaries of a reservation.</w:t>
      </w:r>
    </w:p>
    <w:p>
      <w:pPr>
        <w:spacing w:before="0" w:after="0" w:line="408" w:lineRule="exact"/>
        <w:ind w:left="0" w:right="0" w:firstLine="576"/>
        <w:jc w:val="left"/>
      </w:pPr>
      <w:r>
        <w:rPr>
          <w:u w:val="single"/>
        </w:rPr>
        <w:t xml:space="preserve">(8)</w:t>
      </w:r>
      <w:r>
        <w:rPr/>
        <w:t xml:space="preserve">(a)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w:t>
      </w:r>
      <w:r>
        <w:t>((</w:t>
      </w:r>
      <w:r>
        <w:rPr>
          <w:strike/>
        </w:rPr>
        <w:t xml:space="preserve">may in its discretion</w:t>
      </w:r>
      <w:r>
        <w:t>))</w:t>
      </w:r>
      <w:r>
        <w:rPr/>
        <w:t xml:space="preserve"> </w:t>
      </w:r>
      <w:r>
        <w:rPr>
          <w:u w:val="single"/>
        </w:rPr>
        <w:t xml:space="preserve">shall</w:t>
      </w:r>
      <w:r>
        <w:rPr/>
        <w:t xml:space="preserve">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 </w:t>
      </w:r>
      <w:r>
        <w:rPr>
          <w:u w:val="single"/>
        </w:rPr>
        <w:t xml:space="preserve">If denial is based upon written objections of a city, town, county, port authority, or tribal government of a federally recognized Indian tribe, the board must notify the city, town, county, port authority, or tribal government of a federally recognized Indian tribe and provide opportunity for the city, town, county, port authority, or tribal government of a federally recognized Indian tribe to provide additional information in support of the board's denial.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(a) Except as provided in (b) through (e) of this subsection, the board may not issue a license for any premises within 1,000 feet of the perimeter of the grounds of any elementary or secondary school, playground, recreation center or facility, child care center, public park, public transit center, or library, or any game arcade admission to which is not restricted to persons aged 21 years or older.</w:t>
      </w:r>
    </w:p>
    <w:p>
      <w:pPr>
        <w:spacing w:before="0" w:after="0" w:line="408" w:lineRule="exact"/>
        <w:ind w:left="0" w:right="0" w:firstLine="576"/>
        <w:jc w:val="left"/>
      </w:pPr>
      <w:r>
        <w:rPr/>
        <w:t xml:space="preserve">(b) A city, county, or town may permit the licensing of premises within 1,000 feet but not less than 100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1,000 feet but not less than 100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Before issuing or renewing a research license for premises within 1,000 feet but not less than 100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cannabis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cannabis research facility.</w:t>
      </w:r>
    </w:p>
    <w:p>
      <w:pPr>
        <w:spacing w:before="0" w:after="0" w:line="408" w:lineRule="exact"/>
        <w:ind w:left="0" w:right="0" w:firstLine="576"/>
        <w:jc w:val="left"/>
      </w:pPr>
      <w:r>
        <w:rPr/>
        <w:t xml:space="preserve">(e) The board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city, town, or county may adopt an ordinance prohibiting a cannabis producer or cannabis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 determining whether to grant or deny a license or renewal of any license, the board must give substantial weight to objections from an incorporated city or town or county legislative authority based upon </w:t>
      </w:r>
      <w:r>
        <w:t>((</w:t>
      </w:r>
      <w:r>
        <w:rPr>
          <w:strike/>
        </w:rPr>
        <w:t xml:space="preserve">chronic</w:t>
      </w:r>
      <w:r>
        <w:t>))</w:t>
      </w:r>
      <w:r>
        <w:rPr/>
        <w:t xml:space="preserve"> illegal activity associated with the applicant's operations of the premises proposed to be licensed or the applicant's operation of any other licensed premises, or the conduct of the applicant's patrons inside or outside the licensed premises. "</w:t>
      </w:r>
      <w:r>
        <w:t>((</w:t>
      </w:r>
      <w:r>
        <w:rPr>
          <w:strike/>
        </w:rPr>
        <w:t xml:space="preserve">Chronic illegal</w:t>
      </w:r>
      <w:r>
        <w:t>))</w:t>
      </w:r>
      <w:r>
        <w:rPr/>
        <w:t xml:space="preserve"> </w:t>
      </w:r>
      <w:r>
        <w:rPr>
          <w:u w:val="single"/>
        </w:rPr>
        <w:t xml:space="preserve">Illegal</w:t>
      </w:r>
      <w:r>
        <w:rPr/>
        <w:t xml:space="preserve"> activity" means</w:t>
      </w:r>
      <w:r>
        <w:rPr>
          <w:u w:val="single"/>
        </w:rPr>
        <w:t xml:space="preserve">:</w:t>
      </w:r>
      <w:r>
        <w:rPr/>
        <w:t xml:space="preserve"> (a) </w:t>
      </w:r>
      <w:r>
        <w:t>((</w:t>
      </w:r>
      <w:r>
        <w:rPr>
          <w:strike/>
        </w:rPr>
        <w:t xml:space="preserve">a pervasive pattern of activity</w:t>
      </w:r>
      <w:r>
        <w:t>))</w:t>
      </w:r>
      <w:r>
        <w:rPr/>
        <w:t xml:space="preserve"> </w:t>
      </w:r>
      <w:r>
        <w:rPr>
          <w:u w:val="single"/>
        </w:rPr>
        <w:t xml:space="preserve">Activity</w:t>
      </w:r>
      <w:r>
        <w:rPr/>
        <w:t xml:space="preserve"> that threatens the public health, safety, and welfare of the city, town, or county including, but not limited to, open container violations, assaults, disturbances, disorderly conduct, or other criminal </w:t>
      </w:r>
      <w:r>
        <w:rPr>
          <w:u w:val="single"/>
        </w:rPr>
        <w:t xml:space="preserve">or civil</w:t>
      </w:r>
      <w:r>
        <w:rPr/>
        <w:t xml:space="preserve"> law violations, or as documented in crime statistics, police reports, emergency medical response data, calls for service, field data, or similar records of a law </w:t>
      </w:r>
      <w:r>
        <w:rPr>
          <w:u w:val="single"/>
        </w:rPr>
        <w:t xml:space="preserve">or code</w:t>
      </w:r>
      <w:r>
        <w:rPr/>
        <w:t xml:space="preserve">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board may not issue a cannabis retail license for any premises not currently licensed if:</w:t>
      </w:r>
    </w:p>
    <w:p>
      <w:pPr>
        <w:spacing w:before="0" w:after="0" w:line="408" w:lineRule="exact"/>
        <w:ind w:left="0" w:right="0" w:firstLine="576"/>
        <w:jc w:val="left"/>
      </w:pPr>
      <w:r>
        <w:rPr/>
        <w:t xml:space="preserve">(a) The board receives a written objection from the legislative authority of an incorporated city or town, or county legislative authority, relating to the physical location of the proposed premises;</w:t>
      </w:r>
    </w:p>
    <w:p>
      <w:pPr>
        <w:spacing w:before="0" w:after="0" w:line="408" w:lineRule="exact"/>
        <w:ind w:left="0" w:right="0" w:firstLine="576"/>
        <w:jc w:val="left"/>
      </w:pPr>
      <w:r>
        <w:rPr/>
        <w:t xml:space="preserve">(b) The objection to the location from the incorporated city or town, or county legislative authority, is received by the board within 20 days of the board notifying the incorporated city or town, or county legislative authority, of the proposed cannabis retail location; and</w:t>
      </w:r>
    </w:p>
    <w:p>
      <w:pPr>
        <w:spacing w:before="0" w:after="0" w:line="408" w:lineRule="exact"/>
        <w:ind w:left="0" w:right="0" w:firstLine="576"/>
        <w:jc w:val="left"/>
      </w:pPr>
      <w:r>
        <w:rPr/>
        <w:t xml:space="preserve">(c) The objection to the issuance of a cannabis retail license at the specified location is based on a preexisting local ordinance limiting outlet density in a specific geographic area. For purposes of this subsection </w:t>
      </w:r>
      <w:r>
        <w:t>((</w:t>
      </w:r>
      <w:r>
        <w:rPr>
          <w:strike/>
        </w:rPr>
        <w:t xml:space="preserve">(11)</w:t>
      </w:r>
      <w:r>
        <w:t>))</w:t>
      </w:r>
      <w:r>
        <w:rPr/>
        <w:t xml:space="preserve"> </w:t>
      </w:r>
      <w:r>
        <w:rPr>
          <w:u w:val="single"/>
        </w:rPr>
        <w:t xml:space="preserve">(12)</w:t>
      </w:r>
      <w:r>
        <w:rPr/>
        <w:t xml:space="preserve">, a preexisting local ordinance is an ordinance enacted and in effect before the date the applicant submits an application for a cannabis retail license to the board identifying the premises proposed to be licensed. No objection related to the physical location of a proposed premises may be made by a local government under this subsection </w:t>
      </w:r>
      <w:r>
        <w:t>((</w:t>
      </w:r>
      <w:r>
        <w:rPr>
          <w:strike/>
        </w:rPr>
        <w:t xml:space="preserve">(11)</w:t>
      </w:r>
      <w:r>
        <w:t>))</w:t>
      </w:r>
      <w:r>
        <w:rPr/>
        <w:t xml:space="preserve"> </w:t>
      </w:r>
      <w:r>
        <w:rPr>
          <w:u w:val="single"/>
        </w:rPr>
        <w:t xml:space="preserve">(12)</w:t>
      </w:r>
      <w:r>
        <w:rPr/>
        <w:t xml:space="preserve"> based on a local ordinance enacted after the date the applicant submits an application for a cannabis retail license to the board identifying the premises proposed to be licensed.</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After January 1, 2024, all cannabis licensees are encouraged but are not required to submit a social equity plan to the board. Upon confirmation by the board that a cannabis licensee who is not a social equity applicant, and who does not hold a social equity license issued under RCW 69.50.335, has submitted a social equity plan, the board must within 30 days reimburse such a licensee an amount equal to the cost of the licensee's annual cannabis license renewal fee. The license renewal fee reimbursement authorized under this subsection is subject to the following limitations:</w:t>
      </w:r>
    </w:p>
    <w:p>
      <w:pPr>
        <w:spacing w:before="0" w:after="0" w:line="408" w:lineRule="exact"/>
        <w:ind w:left="0" w:right="0" w:firstLine="576"/>
        <w:jc w:val="left"/>
      </w:pPr>
      <w:r>
        <w:rPr/>
        <w:t xml:space="preserve">(a) The board may provide reimbursement one time only to any licensed entity; and</w:t>
      </w:r>
    </w:p>
    <w:p>
      <w:pPr>
        <w:spacing w:before="0" w:after="0" w:line="408" w:lineRule="exact"/>
        <w:ind w:left="0" w:right="0" w:firstLine="576"/>
        <w:jc w:val="left"/>
      </w:pPr>
      <w:r>
        <w:rPr/>
        <w:t xml:space="preserve">(b) Any licensed entity holding more than one cannabis license is eligible for reimbursement of the license renewal fee on only one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250</w:t>
      </w:r>
      <w:r>
        <w:rPr/>
        <w:t xml:space="preserve"> and 2022 c 16 s 129 are each amended to read as follows:</w:t>
      </w:r>
    </w:p>
    <w:p>
      <w:pPr>
        <w:spacing w:before="0" w:after="0" w:line="408" w:lineRule="exact"/>
        <w:ind w:left="0" w:right="0" w:firstLine="576"/>
        <w:jc w:val="left"/>
      </w:pPr>
      <w:r>
        <w:rPr/>
        <w:t xml:space="preserve">(1) Qualifying patients or designated providers may form a cooperative and share responsibility for acquiring and supplying the resources needed to produce and process cannabis only for the medical use of members of the cooperative. No more than four qualifying patients or designated providers may become members of a cooperative under this section and all members must hold valid recognition cards. All members of the cooperative must be at least twenty-one years old. The designated provider of a qualifying patient who is under twenty-one years old may be a member of a cooperative on the qualifying patient's behalf. All plants grown in the cooperative must be from an immature plant or clone purchased from a licensed cannabis producer as defined in RCW 69.50.101. Cooperatives may also purchase cannabis seeds from a licensed cannabis producer.</w:t>
      </w:r>
    </w:p>
    <w:p>
      <w:pPr>
        <w:spacing w:before="0" w:after="0" w:line="408" w:lineRule="exact"/>
        <w:ind w:left="0" w:right="0" w:firstLine="576"/>
        <w:jc w:val="left"/>
      </w:pPr>
      <w:r>
        <w:rPr/>
        <w:t xml:space="preserve">(2) Qualifying patients and designated providers who wish to form a cooperative must register the location with the state liquor and cannabis board and this is the only location where cooperative members may grow or process cannabis. This registration must include the names of all participating members and copies of each participant's recognition card. Only qualifying patients or designated providers registered with the state liquor and cannabis board in association with the location may participate in growing or receive useable cannabis or cannabis-infused products grown at that location.</w:t>
      </w:r>
    </w:p>
    <w:p>
      <w:pPr>
        <w:spacing w:before="0" w:after="0" w:line="408" w:lineRule="exact"/>
        <w:ind w:left="0" w:right="0" w:firstLine="576"/>
        <w:jc w:val="left"/>
      </w:pPr>
      <w:r>
        <w:rPr/>
        <w:t xml:space="preserve">(3) No cooperative may be located in any of the following areas:</w:t>
      </w:r>
    </w:p>
    <w:p>
      <w:pPr>
        <w:spacing w:before="0" w:after="0" w:line="408" w:lineRule="exact"/>
        <w:ind w:left="0" w:right="0" w:firstLine="576"/>
        <w:jc w:val="left"/>
      </w:pPr>
      <w:r>
        <w:rPr/>
        <w:t xml:space="preserve">(a) Within one mile of a cannabis retailer;</w:t>
      </w:r>
    </w:p>
    <w:p>
      <w:pPr>
        <w:spacing w:before="0" w:after="0" w:line="408" w:lineRule="exact"/>
        <w:ind w:left="0" w:right="0" w:firstLine="576"/>
        <w:jc w:val="left"/>
      </w:pPr>
      <w:r>
        <w:rPr/>
        <w:t xml:space="preserve">(b) Within the smaller of either:</w:t>
      </w:r>
    </w:p>
    <w:p>
      <w:pPr>
        <w:spacing w:before="0" w:after="0" w:line="408" w:lineRule="exact"/>
        <w:ind w:left="0" w:right="0" w:firstLine="576"/>
        <w:jc w:val="left"/>
      </w:pPr>
      <w:r>
        <w:rPr/>
        <w:t xml:space="preserve">(i) One thousand feet of the perimeter of the grounds of any elementary or secondary school, playground, recreation center or facility, child care center, public park, public transit center, library, or any game arcade that admission to which is not restricted to persons aged twenty-one years or older; or</w:t>
      </w:r>
    </w:p>
    <w:p>
      <w:pPr>
        <w:spacing w:before="0" w:after="0" w:line="408" w:lineRule="exact"/>
        <w:ind w:left="0" w:right="0" w:firstLine="576"/>
        <w:jc w:val="left"/>
      </w:pPr>
      <w:r>
        <w:rPr/>
        <w:t xml:space="preserve">(ii) The area restricted by ordinance, if the cooperative is located in a city, county, or town that has passed an ordinance pursuant to RCW 69.50.331</w:t>
      </w:r>
      <w:r>
        <w:t>((</w:t>
      </w:r>
      <w:r>
        <w:rPr>
          <w:strike/>
        </w:rPr>
        <w:t xml:space="preserve">(8)</w:t>
      </w:r>
      <w:r>
        <w:t>))</w:t>
      </w:r>
      <w:r>
        <w:rPr/>
        <w:t xml:space="preserve"> </w:t>
      </w:r>
      <w:r>
        <w:rPr>
          <w:u w:val="single"/>
        </w:rPr>
        <w:t xml:space="preserve">(9)</w:t>
      </w:r>
      <w:r>
        <w:rPr/>
        <w:t xml:space="preserve">; or</w:t>
      </w:r>
    </w:p>
    <w:p>
      <w:pPr>
        <w:spacing w:before="0" w:after="0" w:line="408" w:lineRule="exact"/>
        <w:ind w:left="0" w:right="0" w:firstLine="576"/>
        <w:jc w:val="left"/>
      </w:pPr>
      <w:r>
        <w:rPr/>
        <w:t xml:space="preserve">(c) Where prohibited by a city, town, or county zoning provision.</w:t>
      </w:r>
    </w:p>
    <w:p>
      <w:pPr>
        <w:spacing w:before="0" w:after="0" w:line="408" w:lineRule="exact"/>
        <w:ind w:left="0" w:right="0" w:firstLine="576"/>
        <w:jc w:val="left"/>
      </w:pPr>
      <w:r>
        <w:rPr/>
        <w:t xml:space="preserve">(4) The state liquor and cannabis board must deny the registration of any cooperative if the location does not comply with the requirements set forth in subsection (3) of this section.</w:t>
      </w:r>
    </w:p>
    <w:p>
      <w:pPr>
        <w:spacing w:before="0" w:after="0" w:line="408" w:lineRule="exact"/>
        <w:ind w:left="0" w:right="0" w:firstLine="576"/>
        <w:jc w:val="left"/>
      </w:pPr>
      <w:r>
        <w:rPr/>
        <w:t xml:space="preserve">(5) If a qualifying patient or designated provider no longer participates in growing at the location, he or she must notify the state liquor and cannabis board within fifteen days of the date the qualifying patient or designated provider ceases participation. The state liquor and cannabis board must remove his or her name from connection to the cooperative. Additional qualifying patients or designated providers may not join the cooperative until sixty days have passed since the date on which the last qualifying patient or designated provider notifies the state liquor and cannabis board that he or she no longer participates in that cooperative.</w:t>
      </w:r>
    </w:p>
    <w:p>
      <w:pPr>
        <w:spacing w:before="0" w:after="0" w:line="408" w:lineRule="exact"/>
        <w:ind w:left="0" w:right="0" w:firstLine="576"/>
        <w:jc w:val="left"/>
      </w:pPr>
      <w:r>
        <w:rPr/>
        <w:t xml:space="preserve">(6) Qualifying patients or designated providers who participate in a cooperative under this section:</w:t>
      </w:r>
    </w:p>
    <w:p>
      <w:pPr>
        <w:spacing w:before="0" w:after="0" w:line="408" w:lineRule="exact"/>
        <w:ind w:left="0" w:right="0" w:firstLine="576"/>
        <w:jc w:val="left"/>
      </w:pPr>
      <w:r>
        <w:rPr/>
        <w:t xml:space="preserve">(a) May grow up to the total amount of plants for which each participating member is authorized on their recognition cards, up to a maximum of sixty plants. At the location, the qualifying patients or designated providers may possess the amount of useable cannabis that can be produced with the number of plants permitted under this subsection, but no more than seventy-two ounces;</w:t>
      </w:r>
    </w:p>
    <w:p>
      <w:pPr>
        <w:spacing w:before="0" w:after="0" w:line="408" w:lineRule="exact"/>
        <w:ind w:left="0" w:right="0" w:firstLine="576"/>
        <w:jc w:val="left"/>
      </w:pPr>
      <w:r>
        <w:rPr/>
        <w:t xml:space="preserve">(b) May only participate in one cooperative;</w:t>
      </w:r>
    </w:p>
    <w:p>
      <w:pPr>
        <w:spacing w:before="0" w:after="0" w:line="408" w:lineRule="exact"/>
        <w:ind w:left="0" w:right="0" w:firstLine="576"/>
        <w:jc w:val="left"/>
      </w:pPr>
      <w:r>
        <w:rPr/>
        <w:t xml:space="preserve">(c) May only grow plants in the cooperative and if he or she grows plants in the cooperative may not grow plants elsewhere;</w:t>
      </w:r>
    </w:p>
    <w:p>
      <w:pPr>
        <w:spacing w:before="0" w:after="0" w:line="408" w:lineRule="exact"/>
        <w:ind w:left="0" w:right="0" w:firstLine="576"/>
        <w:jc w:val="left"/>
      </w:pPr>
      <w:r>
        <w:rPr/>
        <w:t xml:space="preserve">(d) Must provide assistance in growing plants. A monetary contribution or donation is not to be considered assistance under this section. Participants must provide nonmonetary resources and labor in order to participate; and</w:t>
      </w:r>
    </w:p>
    <w:p>
      <w:pPr>
        <w:spacing w:before="0" w:after="0" w:line="408" w:lineRule="exact"/>
        <w:ind w:left="0" w:right="0" w:firstLine="576"/>
        <w:jc w:val="left"/>
      </w:pPr>
      <w:r>
        <w:rPr/>
        <w:t xml:space="preserve">(e) May not sell, donate, or otherwise provide cannabis, cannabis concentrates, useable cannabis, or cannabis-infused products to a person who is not participating under this section.</w:t>
      </w:r>
    </w:p>
    <w:p>
      <w:pPr>
        <w:spacing w:before="0" w:after="0" w:line="408" w:lineRule="exact"/>
        <w:ind w:left="0" w:right="0" w:firstLine="576"/>
        <w:jc w:val="left"/>
      </w:pPr>
      <w:r>
        <w:rPr/>
        <w:t xml:space="preserve">(7) The location of the cooperative must be the domicile of one of the participants. Only one cooperative may be located per property tax parcel. A copy of each participant's recognition card must be kept at the location at all times.</w:t>
      </w:r>
    </w:p>
    <w:p>
      <w:pPr>
        <w:spacing w:before="0" w:after="0" w:line="408" w:lineRule="exact"/>
        <w:ind w:left="0" w:right="0" w:firstLine="576"/>
        <w:jc w:val="left"/>
      </w:pPr>
      <w:r>
        <w:rPr/>
        <w:t xml:space="preserve">(8) The state liquor and cannabis board may adopt rules to implement this section including:</w:t>
      </w:r>
    </w:p>
    <w:p>
      <w:pPr>
        <w:spacing w:before="0" w:after="0" w:line="408" w:lineRule="exact"/>
        <w:ind w:left="0" w:right="0" w:firstLine="576"/>
        <w:jc w:val="left"/>
      </w:pPr>
      <w:r>
        <w:rPr/>
        <w:t xml:space="preserve">(a) Any security requirements necessary to ensure the safety of the cooperative and to reduce the risk of diversion from the cooperative;</w:t>
      </w:r>
    </w:p>
    <w:p>
      <w:pPr>
        <w:spacing w:before="0" w:after="0" w:line="408" w:lineRule="exact"/>
        <w:ind w:left="0" w:right="0" w:firstLine="576"/>
        <w:jc w:val="left"/>
      </w:pPr>
      <w:r>
        <w:rPr/>
        <w:t xml:space="preserve">(b) A seed to sale traceability model that is similar to the seed to sale traceability model used by licensees that will allow the state liquor and cannabis board to track all cannabis grown in a cooperative.</w:t>
      </w:r>
    </w:p>
    <w:p>
      <w:pPr>
        <w:spacing w:before="0" w:after="0" w:line="408" w:lineRule="exact"/>
        <w:ind w:left="0" w:right="0" w:firstLine="576"/>
        <w:jc w:val="left"/>
      </w:pPr>
      <w:r>
        <w:rPr/>
        <w:t xml:space="preserve">(9) The state liquor and cannabis board or law enforcement may inspect a cooperative registered under this section to ensure members are in compliance with this section. The state liquor and cannabis board must adopt rules on reasonable inspection hours and reasons for inspections.</w:t>
      </w:r>
    </w:p>
    <w:p/>
    <w:p>
      <w:pPr>
        <w:jc w:val="center"/>
      </w:pPr>
      <w:r>
        <w:rPr>
          <w:b/>
        </w:rPr>
        <w:t>--- END ---</w:t>
      </w:r>
    </w:p>
    <w:sectPr>
      <w:pgNumType w:start="1"/>
      <w:footerReference xmlns:r="http://schemas.openxmlformats.org/officeDocument/2006/relationships" r:id="R7059142bf4db47c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87171512414b18" /><Relationship Type="http://schemas.openxmlformats.org/officeDocument/2006/relationships/footer" Target="/word/footer1.xml" Id="R7059142bf4db47cd" /></Relationships>
</file>