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1b36087a04ea5" /></Relationships>
</file>

<file path=word/document.xml><?xml version="1.0" encoding="utf-8"?>
<w:document xmlns:w="http://schemas.openxmlformats.org/wordprocessingml/2006/main">
  <w:body>
    <w:p>
      <w:r>
        <w:t>H-0476.1</w:t>
      </w:r>
    </w:p>
    <w:p>
      <w:pPr>
        <w:jc w:val="center"/>
      </w:pPr>
      <w:r>
        <w:t>_______________________________________________</w:t>
      </w:r>
    </w:p>
    <w:p/>
    <w:p>
      <w:pPr>
        <w:jc w:val="center"/>
      </w:pPr>
      <w:r>
        <w:rPr>
          <w:b/>
        </w:rPr>
        <w:t>HOUSE BILL 1695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Engell, Klicker, and Schmidt</w:t>
      </w:r>
    </w:p>
    <w:p/>
    <w:p>
      <w:r>
        <w:rPr>
          <w:t xml:space="preserve">Read first time 01/29/25.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unincorporated villages in the growth management act; and amending RCW 36.70A.070 and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2024 c 135 s 1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 and</w:t>
      </w:r>
    </w:p>
    <w:p>
      <w:pPr>
        <w:spacing w:before="0" w:after="0" w:line="408" w:lineRule="exact"/>
        <w:ind w:left="0" w:right="0" w:firstLine="576"/>
        <w:jc w:val="left"/>
      </w:pPr>
      <w:r>
        <w:rPr/>
        <w:t xml:space="preserve">(II) Any included retail or food service space must not exceed 2,500 square feet for a new use, unless the new retail space is for an essential rural retail service and the designated limited area is located at least 10 miles from an existing urban growth area, then the new retail space must not exceed 10,000 square feet;</w:t>
      </w:r>
    </w:p>
    <w:p>
      <w:pPr>
        <w:spacing w:before="0" w:after="0" w:line="408" w:lineRule="exact"/>
        <w:ind w:left="0" w:right="0" w:firstLine="576"/>
        <w:jc w:val="left"/>
      </w:pPr>
      <w:r>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u w:val="single"/>
        </w:rPr>
        <w:t xml:space="preserve">(D) An existing area which has been previously characterized as a town, village, or hamlet, but which was never incorporated, is not subject to (d)(i)(C) of this subsection if the county completes all of the following:</w:t>
      </w:r>
    </w:p>
    <w:p>
      <w:pPr>
        <w:spacing w:before="0" w:after="0" w:line="408" w:lineRule="exact"/>
        <w:ind w:left="0" w:right="0" w:firstLine="576"/>
        <w:jc w:val="left"/>
      </w:pPr>
      <w:r>
        <w:rPr>
          <w:u w:val="single"/>
        </w:rPr>
        <w:t xml:space="preserve">(I) Adopts a subarea plan that is not larger than the adopted logical outer boundary pursuant to (c)(iv) and (v) of this subsection, including undeveloped platted lots, sewer district boundaries, and water system boundaries; and</w:t>
      </w:r>
    </w:p>
    <w:p>
      <w:pPr>
        <w:spacing w:before="0" w:after="0" w:line="408" w:lineRule="exact"/>
        <w:ind w:left="0" w:right="0" w:firstLine="576"/>
        <w:jc w:val="left"/>
      </w:pPr>
      <w:r>
        <w:rPr>
          <w:u w:val="single"/>
        </w:rPr>
        <w:t xml:space="preserve">(II) Allocates a portion of the rural 20-year population and housing to the subarea; and</w:t>
      </w:r>
    </w:p>
    <w:p>
      <w:pPr>
        <w:spacing w:before="0" w:after="0" w:line="408" w:lineRule="exact"/>
        <w:ind w:left="0" w:right="0" w:firstLine="576"/>
        <w:jc w:val="left"/>
      </w:pPr>
      <w:r>
        <w:rPr>
          <w:u w:val="single"/>
        </w:rPr>
        <w:t xml:space="preserve">(III) Amends the capital facilities plan to demonstrate adequate public facilities and services to serve the anticipated population over the planning period; and</w:t>
      </w:r>
    </w:p>
    <w:p>
      <w:pPr>
        <w:spacing w:before="0" w:after="0" w:line="408" w:lineRule="exact"/>
        <w:ind w:left="0" w:right="0" w:firstLine="576"/>
        <w:jc w:val="left"/>
      </w:pPr>
      <w:r>
        <w:rPr>
          <w:u w:val="single"/>
        </w:rPr>
        <w:t xml:space="preserve">(IV) Complies with the countywide planning policies;</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36.70A.030(35). Rural counties may also allow new small-scale businesses to utilize a site previously occupied by an existing business as long as the new small-scale business conforms to the rural character of the area as defined by the local government according to RCW 36.70A.030(35).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w:t>
      </w:r>
      <w:r>
        <w:rPr>
          <w:u w:val="single"/>
        </w:rPr>
        <w:t xml:space="preserve">, or as provided for by RCW 36.70A.070(5)(d)(i)(D),</w:t>
      </w:r>
      <w:r>
        <w:rPr/>
        <w:t xml:space="preserve">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"one hundred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
      <w:pPr>
        <w:jc w:val="center"/>
      </w:pPr>
      <w:r>
        <w:rPr>
          <w:b/>
        </w:rPr>
        <w:t>--- END ---</w:t>
      </w:r>
    </w:p>
    <w:sectPr>
      <w:pgNumType w:start="1"/>
      <w:footerReference xmlns:r="http://schemas.openxmlformats.org/officeDocument/2006/relationships" r:id="R884ca741bdae4e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9638de31394fb8" /><Relationship Type="http://schemas.openxmlformats.org/officeDocument/2006/relationships/footer" Target="/word/footer1.xml" Id="R884ca741bdae4ed4" /></Relationships>
</file>