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425d6ccf20643ce" /></Relationships>
</file>

<file path=word/document.xml><?xml version="1.0" encoding="utf-8"?>
<w:document xmlns:w="http://schemas.openxmlformats.org/wordprocessingml/2006/main">
  <w:body>
    <w:p>
      <w:r>
        <w:t>H-0051.2</w:t>
      </w:r>
    </w:p>
    <w:p>
      <w:pPr>
        <w:jc w:val="center"/>
      </w:pPr>
      <w:r>
        <w:t>_______________________________________________</w:t>
      </w:r>
    </w:p>
    <w:p/>
    <w:p>
      <w:pPr>
        <w:jc w:val="center"/>
      </w:pPr>
      <w:r>
        <w:rPr>
          <w:b/>
        </w:rPr>
        <w:t>HOUSE BILL 1539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Reeves, Dent, Springer, Walen, Ryu, Ramel, Bernbaum, and Salahuddin</w:t>
      </w:r>
    </w:p>
    <w:p/>
    <w:p>
      <w:r>
        <w:rPr>
          <w:t xml:space="preserve">Read first time 01/23/25.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wildfire risk;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work group to study and make recommendations on wildfire mitigation and resiliency standards is hereby created. The work group membership shall be composed of:</w:t>
      </w:r>
    </w:p>
    <w:p>
      <w:pPr>
        <w:spacing w:before="0" w:after="0" w:line="408" w:lineRule="exact"/>
        <w:ind w:left="0" w:right="0" w:firstLine="576"/>
        <w:jc w:val="left"/>
      </w:pPr>
      <w:r>
        <w:rPr/>
        <w:t xml:space="preserve">(a) The insurance commissioner or his or her designee, who shall serve as the cochair of the work group;</w:t>
      </w:r>
    </w:p>
    <w:p>
      <w:pPr>
        <w:spacing w:before="0" w:after="0" w:line="408" w:lineRule="exact"/>
        <w:ind w:left="0" w:right="0" w:firstLine="576"/>
        <w:jc w:val="left"/>
      </w:pPr>
      <w:r>
        <w:rPr/>
        <w:t xml:space="preserve">(b) The commissioner of public lands for the department of natural resources or his or her designee, who shall serve as the cochair of the work group;</w:t>
      </w:r>
    </w:p>
    <w:p>
      <w:pPr>
        <w:spacing w:before="0" w:after="0" w:line="408" w:lineRule="exact"/>
        <w:ind w:left="0" w:right="0" w:firstLine="576"/>
        <w:jc w:val="left"/>
      </w:pPr>
      <w:r>
        <w:rPr/>
        <w:t xml:space="preserve">(c) Four representatives from the property and casualty insurance industry, to be selected by the insurance commissioner and commissioner of public lands for the department of natural resources, or their designees through an application process, which must be completed by August 1, 2025;</w:t>
      </w:r>
    </w:p>
    <w:p>
      <w:pPr>
        <w:spacing w:before="0" w:after="0" w:line="408" w:lineRule="exact"/>
        <w:ind w:left="0" w:right="0" w:firstLine="576"/>
        <w:jc w:val="left"/>
      </w:pPr>
      <w:r>
        <w:rPr/>
        <w:t xml:space="preserve">(d) One representative from the insurance institute for business and home safety;</w:t>
      </w:r>
    </w:p>
    <w:p>
      <w:pPr>
        <w:spacing w:before="0" w:after="0" w:line="408" w:lineRule="exact"/>
        <w:ind w:left="0" w:right="0" w:firstLine="576"/>
        <w:jc w:val="left"/>
      </w:pPr>
      <w:r>
        <w:rPr/>
        <w:t xml:space="preserve">(e) One representative from local emergency management as nominated by the Washington state emergency management council;</w:t>
      </w:r>
    </w:p>
    <w:p>
      <w:pPr>
        <w:spacing w:before="0" w:after="0" w:line="408" w:lineRule="exact"/>
        <w:ind w:left="0" w:right="0" w:firstLine="576"/>
        <w:jc w:val="left"/>
      </w:pPr>
      <w:r>
        <w:rPr/>
        <w:t xml:space="preserve">(f) One representative from the Washington fire chiefs association;</w:t>
      </w:r>
    </w:p>
    <w:p>
      <w:pPr>
        <w:spacing w:before="0" w:after="0" w:line="408" w:lineRule="exact"/>
        <w:ind w:left="0" w:right="0" w:firstLine="576"/>
        <w:jc w:val="left"/>
      </w:pPr>
      <w:r>
        <w:rPr/>
        <w:t xml:space="preserve">(g) The following ex officio members:</w:t>
      </w:r>
    </w:p>
    <w:p>
      <w:pPr>
        <w:spacing w:before="0" w:after="0" w:line="408" w:lineRule="exact"/>
        <w:ind w:left="0" w:right="0" w:firstLine="576"/>
        <w:jc w:val="left"/>
      </w:pPr>
      <w:r>
        <w:rPr/>
        <w:t xml:space="preserve">(i) One member from each of the two largest caucuses of the house of representatives, appointed by the speaker of the house of representatives; and</w:t>
      </w:r>
    </w:p>
    <w:p>
      <w:pPr>
        <w:spacing w:before="0" w:after="0" w:line="408" w:lineRule="exact"/>
        <w:ind w:left="0" w:right="0" w:firstLine="576"/>
        <w:jc w:val="left"/>
      </w:pPr>
      <w:r>
        <w:rPr/>
        <w:t xml:space="preserve">(ii) One member from each of the two largest caucuses of the senate, appointed by the president of the senate; and</w:t>
      </w:r>
    </w:p>
    <w:p>
      <w:pPr>
        <w:spacing w:before="0" w:after="0" w:line="408" w:lineRule="exact"/>
        <w:ind w:left="0" w:right="0" w:firstLine="576"/>
        <w:jc w:val="left"/>
      </w:pPr>
      <w:r>
        <w:rPr/>
        <w:t xml:space="preserve">(h) Other state agency representatives or stakeholder group representatives, at the discretion of the work group, for the purpose of participating in specific topic discussions or subcommittees.</w:t>
      </w:r>
    </w:p>
    <w:p>
      <w:pPr>
        <w:spacing w:before="0" w:after="0" w:line="408" w:lineRule="exact"/>
        <w:ind w:left="0" w:right="0" w:firstLine="576"/>
        <w:jc w:val="left"/>
      </w:pPr>
      <w:r>
        <w:rPr/>
        <w:t xml:space="preserve">(2) Staff support for the work group must be provided by the office of the insurance commissioner.</w:t>
      </w:r>
    </w:p>
    <w:p>
      <w:pPr>
        <w:spacing w:before="0" w:after="0" w:line="408" w:lineRule="exact"/>
        <w:ind w:left="0" w:right="0" w:firstLine="576"/>
        <w:jc w:val="left"/>
      </w:pPr>
      <w:r>
        <w:rPr/>
        <w:t xml:space="preserve">(3) The work group shall study and develop recommendations for the following:</w:t>
      </w:r>
    </w:p>
    <w:p>
      <w:pPr>
        <w:spacing w:before="0" w:after="0" w:line="408" w:lineRule="exact"/>
        <w:ind w:left="0" w:right="0" w:firstLine="576"/>
        <w:jc w:val="left"/>
      </w:pPr>
      <w:r>
        <w:rPr/>
        <w:t xml:space="preserve">(a)(i) Coordinating the department of natural resources' existing wildfire property mitigation standards, or development of standards, with nationally recognized, science-based, wildfire mitigation standards, and (ii) aligning state wildfire property mitigation standards with nationally recognized, science-based, wildfire mitigation standards;</w:t>
      </w:r>
    </w:p>
    <w:p>
      <w:pPr>
        <w:spacing w:before="0" w:after="0" w:line="408" w:lineRule="exact"/>
        <w:ind w:left="0" w:right="0" w:firstLine="576"/>
        <w:jc w:val="left"/>
      </w:pPr>
      <w:r>
        <w:rPr/>
        <w:t xml:space="preserve">(b) Enhancing wildfire mitigation at the community level;</w:t>
      </w:r>
    </w:p>
    <w:p>
      <w:pPr>
        <w:spacing w:before="0" w:after="0" w:line="408" w:lineRule="exact"/>
        <w:ind w:left="0" w:right="0" w:firstLine="576"/>
        <w:jc w:val="left"/>
      </w:pPr>
      <w:r>
        <w:rPr/>
        <w:t xml:space="preserve">(c) Sharing of relevant data between appropriate state agencies and the insurance industry with respect to successful implementation of existing wildfire mitigation efforts, including the identification of gaps in existing wildfire mitigation that may be addressed through (a)(i) of this subsection (3) and wildfire risk assessment tools, which must include coordination with the department of health regarding its environmental health disparities map;</w:t>
      </w:r>
    </w:p>
    <w:p>
      <w:pPr>
        <w:spacing w:before="0" w:after="0" w:line="408" w:lineRule="exact"/>
        <w:ind w:left="0" w:right="0" w:firstLine="576"/>
        <w:jc w:val="left"/>
      </w:pPr>
      <w:r>
        <w:rPr/>
        <w:t xml:space="preserve">(d) Increasing transparency with consumers regarding wildfire hazard and risk, including through additional consumer disclosures for insurance nonrenewals related to wildfire risk, which must focus on decreasing nonrenewals and be informed by data obtained by the insurance commissioner; and</w:t>
      </w:r>
    </w:p>
    <w:p>
      <w:pPr>
        <w:spacing w:before="0" w:after="0" w:line="408" w:lineRule="exact"/>
        <w:ind w:left="0" w:right="0" w:firstLine="576"/>
        <w:jc w:val="left"/>
      </w:pPr>
      <w:r>
        <w:rPr/>
        <w:t xml:space="preserve">(e) Establishing a grant program to provide grants to Washington homeowners for purposes including, but not limited to, retrofitting residential property to resist loss due to wildfire and evaluating whether residential property meets nationally recognized, science-based, wildfire mitigation standards. The work group must include recommendations for:</w:t>
      </w:r>
    </w:p>
    <w:p>
      <w:pPr>
        <w:spacing w:before="0" w:after="0" w:line="408" w:lineRule="exact"/>
        <w:ind w:left="0" w:right="0" w:firstLine="576"/>
        <w:jc w:val="left"/>
      </w:pPr>
      <w:r>
        <w:rPr/>
        <w:t xml:space="preserve">(i) A grant program framework that will promote a decrease in the number of nonrenewals of consumer general casualty insurance or property insurance policies; and</w:t>
      </w:r>
    </w:p>
    <w:p>
      <w:pPr>
        <w:spacing w:before="0" w:after="0" w:line="408" w:lineRule="exact"/>
        <w:ind w:left="0" w:right="0" w:firstLine="576"/>
        <w:jc w:val="left"/>
      </w:pPr>
      <w:r>
        <w:rPr/>
        <w:t xml:space="preserve">(ii) Whether and how local fire protection districts may collaborate with the grant program administrator.</w:t>
      </w:r>
    </w:p>
    <w:p>
      <w:pPr>
        <w:spacing w:before="0" w:after="0" w:line="408" w:lineRule="exact"/>
        <w:ind w:left="0" w:right="0" w:firstLine="576"/>
        <w:jc w:val="left"/>
      </w:pPr>
      <w:r>
        <w:rPr/>
        <w:t xml:space="preserve">(4) The work group shall submit, in compliance with RCW 43.01.036, a report of recommendations to the legislature, the insurance commissioner, and the department of natural resources, by December 1, 2025.</w:t>
      </w:r>
    </w:p>
    <w:p>
      <w:pPr>
        <w:spacing w:before="0" w:after="0" w:line="408" w:lineRule="exact"/>
        <w:ind w:left="0" w:right="0" w:firstLine="576"/>
        <w:jc w:val="left"/>
      </w:pPr>
      <w:r>
        <w:rPr/>
        <w:t xml:space="preserve">(5) This section expires December 31, 2025.</w:t>
      </w:r>
    </w:p>
    <w:p/>
    <w:p>
      <w:pPr>
        <w:jc w:val="center"/>
      </w:pPr>
      <w:r>
        <w:rPr>
          <w:b/>
        </w:rPr>
        <w:t>--- END ---</w:t>
      </w:r>
    </w:p>
    <w:sectPr>
      <w:pgNumType w:start="1"/>
      <w:footerReference xmlns:r="http://schemas.openxmlformats.org/officeDocument/2006/relationships" r:id="Rc5e49648ad1e471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f03c678fc5548eb" /><Relationship Type="http://schemas.openxmlformats.org/officeDocument/2006/relationships/footer" Target="/word/footer1.xml" Id="Rc5e49648ad1e4713" /></Relationships>
</file>