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917e5dbd11499c" /></Relationships>
</file>

<file path=word/document.xml><?xml version="1.0" encoding="utf-8"?>
<w:document xmlns:w="http://schemas.openxmlformats.org/wordprocessingml/2006/main">
  <w:body>
    <w:p>
      <w:r>
        <w:t>H-0497.1</w:t>
      </w:r>
    </w:p>
    <w:p>
      <w:pPr>
        <w:jc w:val="center"/>
      </w:pPr>
      <w:r>
        <w:t>_______________________________________________</w:t>
      </w:r>
    </w:p>
    <w:p/>
    <w:p>
      <w:pPr>
        <w:jc w:val="center"/>
      </w:pPr>
      <w:r>
        <w:rPr>
          <w:b/>
        </w:rPr>
        <w:t>HOUSE BILL 1500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Reed, Entenman, Gregerson, Peterson, Fosse, Farivar, Doglio, Alvarado, Hill, Berry, Simmons, Ormsby, and Macri</w:t>
      </w:r>
    </w:p>
    <w:p/>
    <w:p>
      <w:r>
        <w:rPr>
          <w:t xml:space="preserve">Read first time 01/22/25.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resale certificates for units in common interest communities; and amending RCW 64.90.640.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2024 c 321 s 329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 </w:t>
      </w:r>
      <w:r>
        <w:rPr>
          <w:u w:val="single"/>
        </w:rPr>
        <w:t xml:space="preserve">all of the following and the statement "NONE" or "RECORDS UNAVAILABLE" for each category of records that is not provided</w:t>
      </w:r>
      <w:r>
        <w:rPr/>
        <w:t xml:space="preserve">:</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w:t>
      </w:r>
      <w:r>
        <w:t>((</w:t>
      </w:r>
      <w:r>
        <w:rPr>
          <w:strike/>
        </w:rPr>
        <w:t xml:space="preserve">audit report if it has been prepared, for the year immediately preceding the current year</w:t>
      </w:r>
      <w:r>
        <w:t>))</w:t>
      </w:r>
      <w:r>
        <w:rPr/>
        <w:t xml:space="preserve"> </w:t>
      </w:r>
      <w:r>
        <w:rPr>
          <w:u w:val="single"/>
        </w:rPr>
        <w:t xml:space="preserve">most recent final financial audit report available and the current draft of a more recent report if available</w:t>
      </w:r>
      <w:r>
        <w:rPr/>
        <w:t xml:space="preserve">;</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 on the right to use or occupy the unit, including a restriction on a lease or other rental of the unit;</w:t>
      </w:r>
    </w:p>
    <w:p>
      <w:pPr>
        <w:spacing w:before="0" w:after="0" w:line="408" w:lineRule="exact"/>
        <w:ind w:left="0" w:right="0" w:firstLine="576"/>
        <w:jc w:val="left"/>
      </w:pPr>
      <w:r>
        <w:rPr/>
        <w:t xml:space="preserve">(u) A copy of the declaration, the organizational documents, the rules or regulations of the association, </w:t>
      </w:r>
      <w:r>
        <w:rPr>
          <w:u w:val="single"/>
        </w:rPr>
        <w:t xml:space="preserve">all policies, procedures, and resolutions approved by the board that are currently in effect,</w:t>
      </w:r>
      <w:r>
        <w:rPr/>
        <w:t xml:space="preserve"> the minutes of board meetings and association meetings, except for any information exempt from disclosure under RCW 64.90.495(3), for the last 12 months, </w:t>
      </w:r>
      <w:r>
        <w:t>((</w:t>
      </w:r>
      <w:r>
        <w:rPr>
          <w:strike/>
        </w:rPr>
        <w:t xml:space="preserve">a summary of</w:t>
      </w:r>
      <w:r>
        <w:t>))</w:t>
      </w:r>
      <w:r>
        <w:rPr/>
        <w:t xml:space="preserve"> the </w:t>
      </w:r>
      <w:r>
        <w:rPr>
          <w:u w:val="single"/>
        </w:rPr>
        <w:t xml:space="preserve">most</w:t>
      </w:r>
      <w:r>
        <w:rPr/>
        <w:t xml:space="preserve"> current </w:t>
      </w:r>
      <w:r>
        <w:rPr>
          <w:u w:val="single"/>
        </w:rPr>
        <w:t xml:space="preserve">final</w:t>
      </w:r>
      <w:r>
        <w:rPr/>
        <w:t xml:space="preserve"> reserve study for the association, </w:t>
      </w:r>
      <w:r>
        <w:rPr>
          <w:u w:val="single"/>
        </w:rPr>
        <w:t xml:space="preserve">the most recent draft of a newer reserve study if available,</w:t>
      </w:r>
      <w:r>
        <w:rPr/>
        <w:t xml:space="preserve">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 and</w:t>
      </w:r>
    </w:p>
    <w:p>
      <w:pPr>
        <w:spacing w:before="0" w:after="0" w:line="408" w:lineRule="exact"/>
        <w:ind w:left="0" w:right="0" w:firstLine="576"/>
        <w:jc w:val="left"/>
      </w:pPr>
      <w:r>
        <w:rPr/>
        <w:t xml:space="preserve">(z) The resale certificate must include a notice in substantially the following form and in conspicuous type:</w:t>
      </w:r>
    </w:p>
    <w:p>
      <w:pPr>
        <w:spacing w:before="0" w:after="0" w:line="408" w:lineRule="exact"/>
        <w:ind w:left="576" w:right="1152" w:firstLine="0"/>
        <w:jc w:val="left"/>
      </w:pPr>
      <w:r>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576" w:right="1152" w:firstLine="0"/>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w:t>
      </w:r>
      <w:r>
        <w:rPr>
          <w:u w:val="single"/>
        </w:rPr>
        <w:t xml:space="preserve">(a)</w:t>
      </w:r>
      <w:r>
        <w:rPr/>
        <w:t xml:space="preserve">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w:t>
      </w:r>
    </w:p>
    <w:p>
      <w:pPr>
        <w:spacing w:before="0" w:after="0" w:line="408" w:lineRule="exact"/>
        <w:ind w:left="0" w:right="0" w:firstLine="576"/>
        <w:jc w:val="left"/>
      </w:pPr>
      <w:r>
        <w:rPr>
          <w:u w:val="single"/>
        </w:rPr>
        <w:t xml:space="preserve">(b)</w:t>
      </w:r>
      <w:r>
        <w:rPr/>
        <w:t xml:space="preserve"> For the purposes of this chapter, a reasonable charge </w:t>
      </w:r>
      <w:r>
        <w:rPr>
          <w:u w:val="single"/>
        </w:rPr>
        <w:t xml:space="preserve">to the owner</w:t>
      </w:r>
      <w:r>
        <w:rPr/>
        <w:t xml:space="preserve"> for the preparation of a resale certificate may not exceed $275</w:t>
      </w:r>
      <w:r>
        <w:rPr>
          <w:u w:val="single"/>
        </w:rPr>
        <w:t xml:space="preserve">, covering the direct out-of-pocket cost of copying and providing such information, and may not include any additional charges for providing documents that are maintained in electronic form on a website, web portal, or application available to unit owners. However, an association may charge an additional $100 for a rush service that must be completed within 72 hours of submission of a resale certificate request</w:t>
      </w:r>
      <w:r>
        <w:rPr/>
        <w:t xml:space="preserve">. The association may </w:t>
      </w:r>
      <w:r>
        <w:rPr>
          <w:u w:val="single"/>
        </w:rPr>
        <w:t xml:space="preserve">also</w:t>
      </w:r>
      <w:r>
        <w:rPr/>
        <w:t xml:space="preserve"> charge a unit owner a nominal fee not to exceed $100 for updating a resale certificate within six months of the unit owner's </w:t>
      </w:r>
      <w:r>
        <w:rPr>
          <w:u w:val="single"/>
        </w:rPr>
        <w:t xml:space="preserve">previous resale certificate</w:t>
      </w:r>
      <w:r>
        <w:rPr/>
        <w:t xml:space="preserve"> request. </w:t>
      </w:r>
    </w:p>
    <w:p>
      <w:pPr>
        <w:spacing w:before="0" w:after="0" w:line="408" w:lineRule="exact"/>
        <w:ind w:left="0" w:right="0" w:firstLine="576"/>
        <w:jc w:val="left"/>
      </w:pPr>
      <w:r>
        <w:rPr>
          <w:u w:val="single"/>
        </w:rPr>
        <w:t xml:space="preserve">(c) An association may not require a unit owner to contract with or establish an account with a third party in order to provide payment for or accept delivery of a resale certificate required to be furnished under (a) of this subsection.</w:t>
      </w:r>
    </w:p>
    <w:p>
      <w:pPr>
        <w:spacing w:before="0" w:after="0" w:line="408" w:lineRule="exact"/>
        <w:ind w:left="0" w:right="0" w:firstLine="576"/>
        <w:jc w:val="left"/>
      </w:pPr>
      <w:r>
        <w:rPr>
          <w:u w:val="single"/>
        </w:rPr>
        <w:t xml:space="preserve">(d) Fees for copying and providing documents required by this section must be distinguished from, separately stated from, and separately billed from, all other fees, fines, or assessments.</w:t>
      </w:r>
    </w:p>
    <w:p>
      <w:pPr>
        <w:spacing w:before="0" w:after="0" w:line="408" w:lineRule="exact"/>
        <w:ind w:left="0" w:right="0" w:firstLine="576"/>
        <w:jc w:val="left"/>
      </w:pPr>
      <w:r>
        <w:rPr>
          <w:u w:val="single"/>
        </w:rPr>
        <w:t xml:space="preserve">(e)</w:t>
      </w:r>
      <w:r>
        <w:rPr/>
        <w:t xml:space="preserve">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 </w:t>
      </w:r>
      <w:r>
        <w:rPr>
          <w:u w:val="single"/>
        </w:rPr>
        <w:t xml:space="preserve">A unit owner possessing current copies in electronic form of any documents specified by this section must provide them to a purchaser via electronic transmission at no cost.</w:t>
      </w:r>
    </w:p>
    <w:p>
      <w:pPr>
        <w:spacing w:before="0" w:after="0" w:line="408" w:lineRule="exact"/>
        <w:ind w:left="0" w:right="0" w:firstLine="576"/>
        <w:jc w:val="left"/>
      </w:pPr>
      <w:r>
        <w:rPr>
          <w:u w:val="single"/>
        </w:rPr>
        <w:t xml:space="preserve">(4)</w:t>
      </w:r>
      <w:r>
        <w:rPr/>
        <w:t xml:space="preserve">(a) A purchaser is not liable for any </w:t>
      </w:r>
      <w:r>
        <w:rPr>
          <w:u w:val="single"/>
        </w:rPr>
        <w:t xml:space="preserve">of the following:</w:t>
      </w:r>
    </w:p>
    <w:p>
      <w:pPr>
        <w:spacing w:before="0" w:after="0" w:line="408" w:lineRule="exact"/>
        <w:ind w:left="0" w:right="0" w:firstLine="576"/>
        <w:jc w:val="left"/>
      </w:pPr>
      <w:r>
        <w:rPr>
          <w:u w:val="single"/>
        </w:rPr>
        <w:t xml:space="preserve">(i) Any</w:t>
      </w:r>
      <w:r>
        <w:rPr/>
        <w:t xml:space="preserve"> unpaid assessment or fee greater than the amount set forth in the certificate prepared by the association</w:t>
      </w:r>
      <w:r>
        <w:rPr>
          <w:u w:val="single"/>
        </w:rPr>
        <w:t xml:space="preserve">; and</w:t>
      </w:r>
    </w:p>
    <w:p>
      <w:pPr>
        <w:spacing w:before="0" w:after="0" w:line="408" w:lineRule="exact"/>
        <w:ind w:left="0" w:right="0" w:firstLine="576"/>
        <w:jc w:val="left"/>
      </w:pPr>
      <w:r>
        <w:rPr>
          <w:u w:val="single"/>
        </w:rPr>
        <w:t xml:space="preserve">(ii) Any violation of the governing documents created by any alteration to a unit that, in the exercise of reasonable diligence, should have been known to the association or its authorized agent at the time of conveyance, but was not identified in the resale certificate</w:t>
      </w:r>
      <w:r>
        <w:rPr/>
        <w:t xml:space="preserve">.</w:t>
      </w:r>
    </w:p>
    <w:p>
      <w:pPr>
        <w:spacing w:before="0" w:after="0" w:line="408" w:lineRule="exact"/>
        <w:ind w:left="0" w:right="0" w:firstLine="576"/>
        <w:jc w:val="left"/>
      </w:pPr>
      <w:r>
        <w:rPr/>
        <w:t xml:space="preserve">(b) </w:t>
      </w:r>
      <w:r>
        <w:t>((</w:t>
      </w:r>
      <w:r>
        <w:rPr>
          <w:strike/>
        </w:rPr>
        <w:t xml:space="preserve">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r>
        <w:t>))</w:t>
      </w:r>
      <w:r>
        <w:rPr/>
        <w:t xml:space="preserve"> </w:t>
      </w:r>
      <w:r>
        <w:rPr>
          <w:u w:val="single"/>
        </w:rPr>
        <w:t xml:space="preserve">The purchaser may cancel a contract for the purchase of the unit within five days after first receiving the resale certificate. If the resale certificate is first provided to a purchaser more than five days before execution of a contract for the purchase of a unit, the purchaser does not have the right under this section to cancel the executed contract. If the resale certificate is first provided to a purchaser five days or less before the purchaser signs a contract for the purchase of a unit, the purchaser, before conveyance of the unit to the purchaser, may cancel the contract by delivering, no later than the fifth day after first receiving the resale certificate, a notice of cancellation to the seller. If the resale certificate is first provided to a purchaser less than five days before the closing date for the conveyance of that unit, the purchaser may, before conveyance of the unit to the purchaser, extend the closing date to a date not more than five days after the purchaser first received the resale certificate.</w:t>
      </w:r>
    </w:p>
    <w:p/>
    <w:p>
      <w:pPr>
        <w:jc w:val="center"/>
      </w:pPr>
      <w:r>
        <w:rPr>
          <w:b/>
        </w:rPr>
        <w:t>--- END ---</w:t>
      </w:r>
    </w:p>
    <w:sectPr>
      <w:pgNumType w:start="1"/>
      <w:footerReference xmlns:r="http://schemas.openxmlformats.org/officeDocument/2006/relationships" r:id="R5acc52c570404d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5f15aab4774e32" /><Relationship Type="http://schemas.openxmlformats.org/officeDocument/2006/relationships/footer" Target="/word/footer1.xml" Id="R5acc52c570404d15" /></Relationships>
</file>