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6f2c804a149d5" /></Relationships>
</file>

<file path=word/document.xml><?xml version="1.0" encoding="utf-8"?>
<w:document xmlns:w="http://schemas.openxmlformats.org/wordprocessingml/2006/main">
  <w:body>
    <w:p>
      <w:r>
        <w:t>H-1223.2</w:t>
      </w:r>
    </w:p>
    <w:p>
      <w:pPr>
        <w:jc w:val="center"/>
      </w:pPr>
      <w:r>
        <w:t>_______________________________________________</w:t>
      </w:r>
    </w:p>
    <w:p/>
    <w:p>
      <w:pPr>
        <w:jc w:val="center"/>
      </w:pPr>
      <w:r>
        <w:rPr>
          <w:b/>
        </w:rPr>
        <w:t>SUBSTITUTE HOUSE BILL 1390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Early Learning &amp; Human Services (originally sponsored by Representatives Goodman, Farivar, Thai, Peterson, Reed, and Salahuddin; by request of Department of Social and Health Services)</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community protection program; amending RCW 71.09.020 and 71.09.060; creating new sections; repealing RCW 71A.12.200, 71A.12.210, 71A.12.220, 71A.12.230, 71A.12.240, 71A.12.250, 71A.12.260, and 71A.12.280;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end the community protection program to allow clients of the developmental disabilities administration to obtain less restrictive service options. This act is not intended to reduce the supportive services that clients of the developmental disabilities administration receive.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2025, the department of social and health services shall develop and implement a plan to transition all individuals participating in the community protection program into other services or programs.</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2021 c 236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"Fair share principles" and "fair share principles of release" means that each county has adequate options for conditional release housing placements in a number generally equivalent to the number of residents from that county who are subject to total confinement pursuant to this chapter.</w:t>
      </w:r>
    </w:p>
    <w:p>
      <w:pPr>
        <w:spacing w:before="0" w:after="0" w:line="408" w:lineRule="exact"/>
        <w:ind w:left="0" w:right="0" w:firstLine="576"/>
        <w:jc w:val="left"/>
      </w:pPr>
      <w:r>
        <w:rPr/>
        <w:t xml:space="preserve">(3)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rPr/>
        <w:t xml:space="preserve">(4) "Health care practitioner" means an individual or firm licensed or certified to engage actively in a regulated health profession.</w:t>
      </w:r>
    </w:p>
    <w:p>
      <w:pPr>
        <w:spacing w:before="0" w:after="0" w:line="408" w:lineRule="exact"/>
        <w:ind w:left="0" w:right="0" w:firstLine="576"/>
        <w:jc w:val="left"/>
      </w:pPr>
      <w:r>
        <w:rPr/>
        <w:t xml:space="preserve">(5) "Health care services" means those services provided by health professionals licensed pursuant to RCW 18.120.020(4).</w:t>
      </w:r>
    </w:p>
    <w:p>
      <w:pPr>
        <w:spacing w:before="0" w:after="0" w:line="408" w:lineRule="exact"/>
        <w:ind w:left="0" w:right="0" w:firstLine="576"/>
        <w:jc w:val="left"/>
      </w:pPr>
      <w:r>
        <w:rPr/>
        <w:t xml:space="preserve">(6) "Health profession" means those licensed or regulated professions set forth in RCW 18.120.020(4).</w:t>
      </w:r>
    </w:p>
    <w:p>
      <w:pPr>
        <w:spacing w:before="0" w:after="0" w:line="408" w:lineRule="exact"/>
        <w:ind w:left="0" w:right="0" w:firstLine="576"/>
        <w:jc w:val="left"/>
      </w:pPr>
      <w:r>
        <w:rPr/>
        <w:t xml:space="preserve">(7) "Less restrictive alternative" means court-ordered treatment in a setting less restrictive than total confinement which satisfies the conditions set forth in RCW 71.09.092. </w:t>
      </w:r>
      <w:r>
        <w:t>((</w:t>
      </w:r>
      <w:r>
        <w:rPr>
          <w:strike/>
        </w:rPr>
        <w:t xml:space="preserve">A less restrictive alternative may not include placement in the community protection program as pursuant to RCW 71A.12.230.</w:t>
      </w:r>
      <w:r>
        <w:t>))</w:t>
      </w:r>
    </w:p>
    <w:p>
      <w:pPr>
        <w:spacing w:before="0" w:after="0" w:line="408" w:lineRule="exact"/>
        <w:ind w:left="0" w:right="0" w:firstLine="576"/>
        <w:jc w:val="left"/>
      </w:pPr>
      <w:r>
        <w:rPr/>
        <w:t xml:space="preserve">(8)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rPr/>
        <w:t xml:space="preserve">(9)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rPr/>
        <w:t xml:space="preserve">(10)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rPr/>
        <w:t xml:space="preserve">(11)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rPr/>
        <w:t xml:space="preserve">(12)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rPr/>
        <w:t xml:space="preserve">(13)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rPr/>
        <w:t xml:space="preserve">(14)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rPr/>
        <w:t xml:space="preserve">(15) "Secretary" means the secretary of social and health services or the secretary's designee.</w:t>
      </w:r>
    </w:p>
    <w:p>
      <w:pPr>
        <w:spacing w:before="0" w:after="0" w:line="408" w:lineRule="exact"/>
        <w:ind w:left="0" w:right="0" w:firstLine="576"/>
        <w:jc w:val="left"/>
      </w:pPr>
      <w:r>
        <w:rPr/>
        <w:t xml:space="preserve">(16)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rPr/>
        <w:t xml:space="preserve">(17)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rPr/>
        <w:t xml:space="preserve">(18)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rPr/>
        <w:t xml:space="preserve">(19)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rPr/>
        <w:t xml:space="preserve">(20)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rPr/>
        <w:t xml:space="preserve">(21)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2023 c 453 s 28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w:t>
      </w:r>
      <w:r>
        <w:t>((</w:t>
      </w:r>
      <w:r>
        <w:rPr>
          <w:strike/>
        </w:rPr>
        <w:t xml:space="preserve">The community protection program under RCW 71A.12.230 may not be considered as a placement condition or treatment option available to the person if unconditionally released from detention on a sexually violent predator petition.</w:t>
      </w:r>
      <w:r>
        <w:t>))</w:t>
      </w:r>
      <w:r>
        <w:rPr/>
        <w:t xml:space="preserve">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71.09.020(18)(c),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incompetent to stand trial, and is about to be or has been released pursuant to RCW 10.77.086(7), and his or her commitment is sought pursuant to subsection (1) of this section, the court shall first hear evidence and determine whether the person did commit the act or acts charged if the court did not enter a finding prior to dismissal under RCW 10.77.086(7)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incompetent, shall apply. After hearing evidence on this issue, the court shall make specific findings on whether the person did commit the act or acts charged, the extent to which the person's incompetence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71A</w:t>
      </w:r>
      <w:r>
        <w:rPr/>
        <w:t xml:space="preserve">.</w:t>
      </w:r>
      <w:r>
        <w:t xml:space="preserve">12</w:t>
      </w:r>
      <w:r>
        <w:rPr/>
        <w:t xml:space="preserve">.</w:t>
      </w:r>
      <w:r>
        <w:t xml:space="preserve">200</w:t>
      </w:r>
      <w:r>
        <w:rPr/>
        <w:t xml:space="preserve"> (Community protection program</w:t>
      </w:r>
      <w:r>
        <w:rPr>
          <w:rFonts w:ascii="Times New Roman" w:hAnsi="Times New Roman"/>
        </w:rPr>
        <w:t xml:space="preserve">—</w:t>
      </w:r>
      <w:r>
        <w:rPr/>
        <w:t xml:space="preserve">Legislative approval) and 2006 c 303 s 1;</w:t>
      </w:r>
    </w:p>
    <w:p>
      <w:pPr>
        <w:spacing w:before="0" w:after="0" w:line="408" w:lineRule="exact"/>
        <w:ind w:left="0" w:right="0" w:firstLine="576"/>
        <w:jc w:val="left"/>
      </w:pPr>
      <w:r>
        <w:t xml:space="preserve">(2) </w:t>
      </w:r>
      <w:r>
        <w:rPr/>
        <w:t xml:space="preserve">RCW </w:t>
      </w:r>
      <w:r>
        <w:t xml:space="preserve">71A</w:t>
      </w:r>
      <w:r>
        <w:rPr/>
        <w:t xml:space="preserve">.</w:t>
      </w:r>
      <w:r>
        <w:t xml:space="preserve">12</w:t>
      </w:r>
      <w:r>
        <w:rPr/>
        <w:t xml:space="preserve">.</w:t>
      </w:r>
      <w:r>
        <w:t xml:space="preserve">210</w:t>
      </w:r>
      <w:r>
        <w:rPr/>
        <w:t xml:space="preserve"> (Community protection program</w:t>
      </w:r>
      <w:r>
        <w:rPr>
          <w:rFonts w:ascii="Times New Roman" w:hAnsi="Times New Roman"/>
        </w:rPr>
        <w:t xml:space="preserve">—</w:t>
      </w:r>
      <w:r>
        <w:rPr/>
        <w:t xml:space="preserve">Application) and 2006 c 303 s 2;</w:t>
      </w:r>
    </w:p>
    <w:p>
      <w:pPr>
        <w:spacing w:before="0" w:after="0" w:line="408" w:lineRule="exact"/>
        <w:ind w:left="0" w:right="0" w:firstLine="576"/>
        <w:jc w:val="left"/>
      </w:pPr>
      <w:r>
        <w:t xml:space="preserve">(3) </w:t>
      </w:r>
      <w:r>
        <w:rPr/>
        <w:t xml:space="preserve">RCW </w:t>
      </w:r>
      <w:r>
        <w:t xml:space="preserve">71A</w:t>
      </w:r>
      <w:r>
        <w:rPr/>
        <w:t xml:space="preserve">.</w:t>
      </w:r>
      <w:r>
        <w:t xml:space="preserve">12</w:t>
      </w:r>
      <w:r>
        <w:rPr/>
        <w:t xml:space="preserve">.</w:t>
      </w:r>
      <w:r>
        <w:t xml:space="preserve">220</w:t>
      </w:r>
      <w:r>
        <w:rPr/>
        <w:t xml:space="preserve"> (Community protection program</w:t>
      </w:r>
      <w:r>
        <w:rPr>
          <w:rFonts w:ascii="Times New Roman" w:hAnsi="Times New Roman"/>
        </w:rPr>
        <w:t xml:space="preserve">—</w:t>
      </w:r>
      <w:r>
        <w:rPr/>
        <w:t xml:space="preserve">Definitions) and 2006 c 303 s 3;</w:t>
      </w:r>
    </w:p>
    <w:p>
      <w:pPr>
        <w:spacing w:before="0" w:after="0" w:line="408" w:lineRule="exact"/>
        <w:ind w:left="0" w:right="0" w:firstLine="576"/>
        <w:jc w:val="left"/>
      </w:pPr>
      <w:r>
        <w:t xml:space="preserve">(4) </w:t>
      </w:r>
      <w:r>
        <w:rPr/>
        <w:t xml:space="preserve">RCW </w:t>
      </w:r>
      <w:r>
        <w:t xml:space="preserve">71A</w:t>
      </w:r>
      <w:r>
        <w:rPr/>
        <w:t xml:space="preserve">.</w:t>
      </w:r>
      <w:r>
        <w:t xml:space="preserve">12</w:t>
      </w:r>
      <w:r>
        <w:rPr/>
        <w:t xml:space="preserve">.</w:t>
      </w:r>
      <w:r>
        <w:t xml:space="preserve">230</w:t>
      </w:r>
      <w:r>
        <w:rPr/>
        <w:t xml:space="preserve"> (Community protection program</w:t>
      </w:r>
      <w:r>
        <w:rPr>
          <w:rFonts w:ascii="Times New Roman" w:hAnsi="Times New Roman"/>
        </w:rPr>
        <w:t xml:space="preserve">—</w:t>
      </w:r>
      <w:r>
        <w:rPr/>
        <w:t xml:space="preserve">Risk assessment</w:t>
      </w:r>
      <w:r>
        <w:rPr>
          <w:rFonts w:ascii="Times New Roman" w:hAnsi="Times New Roman"/>
        </w:rPr>
        <w:t xml:space="preserve">—</w:t>
      </w:r>
      <w:r>
        <w:rPr/>
        <w:t xml:space="preserve">Written notification</w:t>
      </w:r>
      <w:r>
        <w:rPr>
          <w:rFonts w:ascii="Times New Roman" w:hAnsi="Times New Roman"/>
        </w:rPr>
        <w:t xml:space="preserve">—</w:t>
      </w:r>
      <w:r>
        <w:rPr/>
        <w:t xml:space="preserve">Written determination) and 2006 c 303 s 4;</w:t>
      </w:r>
    </w:p>
    <w:p>
      <w:pPr>
        <w:spacing w:before="0" w:after="0" w:line="408" w:lineRule="exact"/>
        <w:ind w:left="0" w:right="0" w:firstLine="576"/>
        <w:jc w:val="left"/>
      </w:pPr>
      <w:r>
        <w:t xml:space="preserve">(5) </w:t>
      </w:r>
      <w:r>
        <w:rPr/>
        <w:t xml:space="preserve">RCW </w:t>
      </w:r>
      <w:r>
        <w:t xml:space="preserve">71A</w:t>
      </w:r>
      <w:r>
        <w:rPr/>
        <w:t xml:space="preserve">.</w:t>
      </w:r>
      <w:r>
        <w:t xml:space="preserve">12</w:t>
      </w:r>
      <w:r>
        <w:rPr/>
        <w:t xml:space="preserve">.</w:t>
      </w:r>
      <w:r>
        <w:t xml:space="preserve">240</w:t>
      </w:r>
      <w:r>
        <w:rPr/>
        <w:t xml:space="preserve"> (Community protection program</w:t>
      </w:r>
      <w:r>
        <w:rPr>
          <w:rFonts w:ascii="Times New Roman" w:hAnsi="Times New Roman"/>
        </w:rPr>
        <w:t xml:space="preserve">—</w:t>
      </w:r>
      <w:r>
        <w:rPr/>
        <w:t xml:space="preserve">Appeals</w:t>
      </w:r>
      <w:r>
        <w:rPr>
          <w:rFonts w:ascii="Times New Roman" w:hAnsi="Times New Roman"/>
        </w:rPr>
        <w:t xml:space="preserve">—</w:t>
      </w:r>
      <w:r>
        <w:rPr/>
        <w:t xml:space="preserve">Rules</w:t>
      </w:r>
      <w:r>
        <w:rPr>
          <w:rFonts w:ascii="Times New Roman" w:hAnsi="Times New Roman"/>
        </w:rPr>
        <w:t xml:space="preserve">—</w:t>
      </w:r>
      <w:r>
        <w:rPr/>
        <w:t xml:space="preserve">Notice) and 2006 c 303 s 5;</w:t>
      </w:r>
    </w:p>
    <w:p>
      <w:pPr>
        <w:spacing w:before="0" w:after="0" w:line="408" w:lineRule="exact"/>
        <w:ind w:left="0" w:right="0" w:firstLine="576"/>
        <w:jc w:val="left"/>
      </w:pPr>
      <w:r>
        <w:t xml:space="preserve">(6) </w:t>
      </w:r>
      <w:r>
        <w:rPr/>
        <w:t xml:space="preserve">RCW </w:t>
      </w:r>
      <w:r>
        <w:t xml:space="preserve">71A</w:t>
      </w:r>
      <w:r>
        <w:rPr/>
        <w:t xml:space="preserve">.</w:t>
      </w:r>
      <w:r>
        <w:t xml:space="preserve">12</w:t>
      </w:r>
      <w:r>
        <w:rPr/>
        <w:t xml:space="preserve">.</w:t>
      </w:r>
      <w:r>
        <w:t xml:space="preserve">250</w:t>
      </w:r>
      <w:r>
        <w:rPr/>
        <w:t xml:space="preserve"> (Community protection program</w:t>
      </w:r>
      <w:r>
        <w:rPr>
          <w:rFonts w:ascii="Times New Roman" w:hAnsi="Times New Roman"/>
        </w:rPr>
        <w:t xml:space="preserve">—</w:t>
      </w:r>
      <w:r>
        <w:rPr/>
        <w:t xml:space="preserve">Services</w:t>
      </w:r>
      <w:r>
        <w:rPr>
          <w:rFonts w:ascii="Times New Roman" w:hAnsi="Times New Roman"/>
        </w:rPr>
        <w:t xml:space="preserve">—</w:t>
      </w:r>
      <w:r>
        <w:rPr/>
        <w:t xml:space="preserve">Reviews</w:t>
      </w:r>
      <w:r>
        <w:rPr>
          <w:rFonts w:ascii="Times New Roman" w:hAnsi="Times New Roman"/>
        </w:rPr>
        <w:t xml:space="preserve">—</w:t>
      </w:r>
      <w:r>
        <w:rPr/>
        <w:t xml:space="preserve">Rules) and 2006 c 303 s 6;</w:t>
      </w:r>
    </w:p>
    <w:p>
      <w:pPr>
        <w:spacing w:before="0" w:after="0" w:line="408" w:lineRule="exact"/>
        <w:ind w:left="0" w:right="0" w:firstLine="576"/>
        <w:jc w:val="left"/>
      </w:pPr>
      <w:r>
        <w:t xml:space="preserve">(7) </w:t>
      </w:r>
      <w:r>
        <w:rPr/>
        <w:t xml:space="preserve">RCW </w:t>
      </w:r>
      <w:r>
        <w:t xml:space="preserve">71A</w:t>
      </w:r>
      <w:r>
        <w:rPr/>
        <w:t xml:space="preserve">.</w:t>
      </w:r>
      <w:r>
        <w:t xml:space="preserve">12</w:t>
      </w:r>
      <w:r>
        <w:rPr/>
        <w:t xml:space="preserve">.</w:t>
      </w:r>
      <w:r>
        <w:t xml:space="preserve">260</w:t>
      </w:r>
      <w:r>
        <w:rPr/>
        <w:t xml:space="preserve"> (Community protection program</w:t>
      </w:r>
      <w:r>
        <w:rPr>
          <w:rFonts w:ascii="Times New Roman" w:hAnsi="Times New Roman"/>
        </w:rPr>
        <w:t xml:space="preserve">—</w:t>
      </w:r>
      <w:r>
        <w:rPr/>
        <w:t xml:space="preserve">Less restrictive residential placement) and 2006 c 303 s 7; and</w:t>
      </w:r>
    </w:p>
    <w:p>
      <w:pPr>
        <w:spacing w:before="0" w:after="0" w:line="408" w:lineRule="exact"/>
        <w:ind w:left="0" w:right="0" w:firstLine="576"/>
        <w:jc w:val="left"/>
      </w:pPr>
      <w:r>
        <w:t xml:space="preserve">(8) </w:t>
      </w:r>
      <w:r>
        <w:rPr/>
        <w:t xml:space="preserve">RCW </w:t>
      </w:r>
      <w:r>
        <w:t xml:space="preserve">71A</w:t>
      </w:r>
      <w:r>
        <w:rPr/>
        <w:t xml:space="preserve">.</w:t>
      </w:r>
      <w:r>
        <w:t xml:space="preserve">12</w:t>
      </w:r>
      <w:r>
        <w:rPr/>
        <w:t xml:space="preserve">.</w:t>
      </w:r>
      <w:r>
        <w:t xml:space="preserve">280</w:t>
      </w:r>
      <w:r>
        <w:rPr/>
        <w:t xml:space="preserve"> (Community protection program</w:t>
      </w:r>
      <w:r>
        <w:rPr>
          <w:rFonts w:ascii="Times New Roman" w:hAnsi="Times New Roman"/>
        </w:rPr>
        <w:t xml:space="preserve">—</w:t>
      </w:r>
      <w:r>
        <w:rPr/>
        <w:t xml:space="preserve">Rules, guidelines, and policy manuals) and 2006 c 303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take effect January 1, 2026.</w:t>
      </w:r>
    </w:p>
    <w:p/>
    <w:p>
      <w:pPr>
        <w:jc w:val="center"/>
      </w:pPr>
      <w:r>
        <w:rPr>
          <w:b/>
        </w:rPr>
        <w:t>--- END ---</w:t>
      </w:r>
    </w:p>
    <w:sectPr>
      <w:pgNumType w:start="1"/>
      <w:footerReference xmlns:r="http://schemas.openxmlformats.org/officeDocument/2006/relationships" r:id="Rdf0cae5ee70540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0a29e4770940a2" /><Relationship Type="http://schemas.openxmlformats.org/officeDocument/2006/relationships/footer" Target="/word/footer1.xml" Id="Rdf0cae5ee705408d" /></Relationships>
</file>