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051cd3397d4b79" /></Relationships>
</file>

<file path=word/document.xml><?xml version="1.0" encoding="utf-8"?>
<w:document xmlns:w="http://schemas.openxmlformats.org/wordprocessingml/2006/main">
  <w:body>
    <w:p>
      <w:r>
        <w:t>H-0264.2</w:t>
      </w:r>
    </w:p>
    <w:p>
      <w:pPr>
        <w:jc w:val="center"/>
      </w:pPr>
      <w:r>
        <w:t>_______________________________________________</w:t>
      </w:r>
    </w:p>
    <w:p/>
    <w:p>
      <w:pPr>
        <w:jc w:val="center"/>
      </w:pPr>
      <w:r>
        <w:rPr>
          <w:b/>
        </w:rPr>
        <w:t>HOUSE BILL 1164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Connors, Leavitt, Low, Jacobsen, Couture, Barkis, and Barnard</w:t>
      </w:r>
    </w:p>
    <w:p/>
    <w:p>
      <w:r>
        <w:rPr>
          <w:t xml:space="preserve">Prefiled 01/06/25.</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urban growth area boundaries for residential development; amending RCW 36.70A.110 and 36.70A.130;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supply of developable land for housing needs to be increased. To do so without increasing the costs on local governments, the legislature intends to direct cities and counties to expand urban growth area boundaries so that any parcel that shares a common boundary with, or is located across the road from, a residential parcel with access to urban services can be developed for residential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beginning with the next comprehensive plan update due after the effective date of this section, a city or county that is required to or chooses to plan under RCW 36.70A.040 must expand its urban growth area boundaries to include all parcels that:</w:t>
      </w:r>
    </w:p>
    <w:p>
      <w:pPr>
        <w:spacing w:before="0" w:after="0" w:line="408" w:lineRule="exact"/>
        <w:ind w:left="0" w:right="0" w:firstLine="576"/>
        <w:jc w:val="left"/>
      </w:pPr>
      <w:r>
        <w:rPr/>
        <w:t xml:space="preserve">(a) Share a common boundary with another parcel that: (i) Shares a common boundary with an urban growth area boundary; (ii) is developed for residential purposes or has been approved for residential development by the county; and (iii) has access to urban services or is in an area where the county plans to provide urban services; or</w:t>
      </w:r>
    </w:p>
    <w:p>
      <w:pPr>
        <w:spacing w:before="0" w:after="0" w:line="408" w:lineRule="exact"/>
        <w:ind w:left="0" w:right="0" w:firstLine="576"/>
        <w:jc w:val="left"/>
      </w:pPr>
      <w:r>
        <w:rPr/>
        <w:t xml:space="preserve">(b) Are adjacent to a road along which an urban growth area boundary is drawn where parcels on the opposite side of the road: (i) Are within the urban growth area; (ii) are developed for residential purposes or have been approved for residential development by the county; and (iii) have access to urban services or are in an area where the county plans to provide urban services.</w:t>
      </w:r>
    </w:p>
    <w:p>
      <w:pPr>
        <w:spacing w:before="0" w:after="0" w:line="408" w:lineRule="exact"/>
        <w:ind w:left="0" w:right="0" w:firstLine="576"/>
        <w:jc w:val="left"/>
      </w:pPr>
      <w:r>
        <w:rPr/>
        <w:t xml:space="preserve">(2) Subsection (1) of this section does not authorize a city or county to expand its urban growth area boundaries to include any of the following types of areas:</w:t>
      </w:r>
    </w:p>
    <w:p>
      <w:pPr>
        <w:spacing w:before="0" w:after="0" w:line="408" w:lineRule="exact"/>
        <w:ind w:left="0" w:right="0" w:firstLine="576"/>
        <w:jc w:val="left"/>
      </w:pPr>
      <w:r>
        <w:rPr/>
        <w:t xml:space="preserve">(a) Critical areas or critical area buffers under RCW 36.70A.170, except for critical aquifer recharge areas where a single-family detached house is an allowed use provided that any requirements to maintain aquifer recharge are met;</w:t>
      </w:r>
    </w:p>
    <w:p>
      <w:pPr>
        <w:spacing w:before="0" w:after="0" w:line="408" w:lineRule="exact"/>
        <w:ind w:left="0" w:right="0" w:firstLine="576"/>
        <w:jc w:val="left"/>
      </w:pPr>
      <w:r>
        <w:rPr/>
        <w:t xml:space="preserve">(b) Areas designated as sole source aquifers by the United States environmental protection agency on islands in the Puget Sound;</w:t>
      </w:r>
    </w:p>
    <w:p>
      <w:pPr>
        <w:spacing w:before="0" w:after="0" w:line="408" w:lineRule="exact"/>
        <w:ind w:left="0" w:right="0" w:firstLine="576"/>
        <w:jc w:val="left"/>
      </w:pPr>
      <w:r>
        <w:rPr/>
        <w:t xml:space="preserve">(c) Areas with a watershed serving a reservoir for potable water if that watershed is or was listed, as of the effective date of this section, as impaired or threatened under section 303(d) of the federal clean water act (33 U.S.C. Sec. 1313(d));</w:t>
      </w:r>
    </w:p>
    <w:p>
      <w:pPr>
        <w:spacing w:before="0" w:after="0" w:line="408" w:lineRule="exact"/>
        <w:ind w:left="0" w:right="0" w:firstLine="576"/>
        <w:jc w:val="left"/>
      </w:pPr>
      <w:r>
        <w:rPr/>
        <w:t xml:space="preserve">(d) Lots that have been designated as urban separators by countywide planning policies as of the effective date of this section;</w:t>
      </w:r>
    </w:p>
    <w:p>
      <w:pPr>
        <w:spacing w:before="0" w:after="0" w:line="408" w:lineRule="exact"/>
        <w:ind w:left="0" w:right="0" w:firstLine="576"/>
        <w:jc w:val="left"/>
      </w:pPr>
      <w:r>
        <w:rPr/>
        <w:t xml:space="preserve">(e) Lots that have been created through the splitting of a single residential lot; or</w:t>
      </w:r>
    </w:p>
    <w:p>
      <w:pPr>
        <w:spacing w:before="0" w:after="0" w:line="408" w:lineRule="exact"/>
        <w:ind w:left="0" w:right="0" w:firstLine="576"/>
        <w:jc w:val="left"/>
      </w:pPr>
      <w:r>
        <w:rPr/>
        <w:t xml:space="preserve">(f) Areas designated by the county as agricultural, forest, or mineral resource lands of long-term commercial significance.</w:t>
      </w:r>
    </w:p>
    <w:p>
      <w:pPr>
        <w:spacing w:before="0" w:after="0" w:line="408" w:lineRule="exact"/>
        <w:ind w:left="0" w:right="0" w:firstLine="576"/>
        <w:jc w:val="left"/>
      </w:pPr>
      <w:r>
        <w:rPr/>
        <w:t xml:space="preserve">(3) On a parcel that meets the criteria in subsection (1) of this section, a city or county must:</w:t>
      </w:r>
    </w:p>
    <w:p>
      <w:pPr>
        <w:spacing w:before="0" w:after="0" w:line="408" w:lineRule="exact"/>
        <w:ind w:left="0" w:right="0" w:firstLine="576"/>
        <w:jc w:val="left"/>
      </w:pPr>
      <w:r>
        <w:rPr/>
        <w:t xml:space="preserve">(a) Authorize residential development at the same density as allowed on the types of parcels described in subsection (1)(a) and (b) of this section; and</w:t>
      </w:r>
    </w:p>
    <w:p>
      <w:pPr>
        <w:spacing w:before="0" w:after="0" w:line="408" w:lineRule="exact"/>
        <w:ind w:left="0" w:right="0" w:firstLine="576"/>
        <w:jc w:val="left"/>
      </w:pPr>
      <w:r>
        <w:rPr/>
        <w:t xml:space="preserve">(b) Allow any buildings that are part of a residential development to use and connect to any available urban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2024 c 26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w:t>
      </w:r>
      <w:r>
        <w:rPr>
          <w:u w:val="single"/>
        </w:rPr>
        <w:t xml:space="preserve">Each parcel that meets the criteria in section 2(1) of this act shall be included within an urban growth area.</w:t>
      </w:r>
      <w:r>
        <w:rPr/>
        <w:t xml:space="preserve">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 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w:t>
      </w:r>
      <w:r>
        <w:t>((</w:t>
      </w:r>
      <w:r>
        <w:rPr>
          <w:strike/>
        </w:rPr>
        <w:t xml:space="preserve">twenty-year</w:t>
      </w:r>
      <w:r>
        <w:t>))</w:t>
      </w:r>
      <w:r>
        <w:rPr/>
        <w:t xml:space="preserve"> </w:t>
      </w:r>
      <w:r>
        <w:rPr>
          <w:u w:val="single"/>
        </w:rPr>
        <w:t xml:space="preserve">20-year</w:t>
      </w:r>
      <w:r>
        <w:rPr/>
        <w:t xml:space="preserve">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w:t>
      </w:r>
      <w:r>
        <w:t>((</w:t>
      </w:r>
      <w:r>
        <w:rPr>
          <w:strike/>
        </w:rPr>
        <w:t xml:space="preserve">sixty</w:t>
      </w:r>
      <w:r>
        <w:t>))</w:t>
      </w:r>
      <w:r>
        <w:rPr/>
        <w:t xml:space="preserve"> </w:t>
      </w:r>
      <w:r>
        <w:rPr>
          <w:u w:val="single"/>
        </w:rPr>
        <w:t xml:space="preserve">60</w:t>
      </w:r>
      <w:r>
        <w:rPr/>
        <w:t xml:space="preserve">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w:t>
      </w:r>
      <w:r>
        <w:t>((</w:t>
      </w:r>
      <w:r>
        <w:rPr>
          <w:strike/>
        </w:rPr>
        <w:t xml:space="preserve">in</w:t>
      </w:r>
      <w:r>
        <w:t>))</w:t>
      </w:r>
      <w:r>
        <w:rPr>
          <w:u w:val="single"/>
        </w:rPr>
        <w:t xml:space="preserve">:</w:t>
      </w:r>
    </w:p>
    <w:p>
      <w:pPr>
        <w:spacing w:before="0" w:after="0" w:line="408" w:lineRule="exact"/>
        <w:ind w:left="0" w:right="0" w:firstLine="576"/>
        <w:jc w:val="left"/>
      </w:pPr>
      <w:r>
        <w:rPr>
          <w:u w:val="single"/>
        </w:rPr>
        <w:t xml:space="preserve">(a) In</w:t>
      </w:r>
      <w:r>
        <w:rPr/>
        <w:t xml:space="preserve"> those limited circumstances shown to be necessary to protect basic public health and safety and the environment and when such services are financially supportable at rural densities and do not permit urban development</w:t>
      </w:r>
      <w:r>
        <w:rPr>
          <w:u w:val="single"/>
        </w:rPr>
        <w:t xml:space="preserve">; or</w:t>
      </w:r>
    </w:p>
    <w:p>
      <w:pPr>
        <w:spacing w:before="0" w:after="0" w:line="408" w:lineRule="exact"/>
        <w:ind w:left="0" w:right="0" w:firstLine="576"/>
        <w:jc w:val="left"/>
      </w:pPr>
      <w:r>
        <w:rPr>
          <w:u w:val="single"/>
        </w:rPr>
        <w:t xml:space="preserve">(b) When necessary for residential development of a parcel that meets the criteria in section 2(1) of this act</w:t>
      </w:r>
      <w:r>
        <w:rPr/>
        <w:t xml:space="preserve">.</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 If, during the county's annual review under RCW 36.70A.130(2)(a), the county determines revision of the urban growth area is not required to accommodate the population projection for the county made by the office of financial management for the succeeding 20-year period, but does determine that patterns of development have created pressure for development in areas exceeding the amount of available developable lands within the urban growth area, then the county may revise the urban growth area or areas based on identified patterns of development and likely future development pressure if the following requirements are met:</w:t>
      </w:r>
    </w:p>
    <w:p>
      <w:pPr>
        <w:spacing w:before="0" w:after="0" w:line="408" w:lineRule="exact"/>
        <w:ind w:left="0" w:right="0" w:firstLine="576"/>
        <w:jc w:val="left"/>
      </w:pPr>
      <w:r>
        <w:rPr/>
        <w:t xml:space="preserve">(a) The revised urban growth area would not result in a net increase in the total acreage or development capacity of the urban growth area or areas;</w:t>
      </w:r>
    </w:p>
    <w:p>
      <w:pPr>
        <w:spacing w:before="0" w:after="0" w:line="408" w:lineRule="exact"/>
        <w:ind w:left="0" w:right="0" w:firstLine="576"/>
        <w:jc w:val="left"/>
      </w:pPr>
      <w:r>
        <w:rPr/>
        <w:t xml:space="preserve">(b) The areas added to the urban growth area are not designated by the county as agricultural, forest, or mineral resource lands of long-term commercial significance;</w:t>
      </w:r>
    </w:p>
    <w:p>
      <w:pPr>
        <w:spacing w:before="0" w:after="0" w:line="408" w:lineRule="exact"/>
        <w:ind w:left="0" w:right="0" w:firstLine="576"/>
        <w:jc w:val="left"/>
      </w:pPr>
      <w:r>
        <w:rPr/>
        <w:t xml:space="preserve">(c) If the areas added to the urban growth area have previously been designated as agricultural, forest, or mineral resource lands of long-term commercial significance, either an equivalent amount of agricultural, forest, or mineral resource lands of long-term commercial significance must be added to the area outside of the urban growth area, or the county must wait a minimum of two years before another swap may occur;</w:t>
      </w:r>
    </w:p>
    <w:p>
      <w:pPr>
        <w:spacing w:before="0" w:after="0" w:line="408" w:lineRule="exact"/>
        <w:ind w:left="0" w:right="0" w:firstLine="576"/>
        <w:jc w:val="left"/>
      </w:pPr>
      <w:r>
        <w:rPr/>
        <w:t xml:space="preserve">(d) Less than 15 percent of the areas added to the urban growth area are critical areas other than critical aquifer recharge areas. Critical aquifer recharge areas must have been previously designated by the county and be maintained per county development regulations within the expanded urban growth area and the revised urban growth area must not result in a net increase in critical aquifer recharge areas within the urban growth area;</w:t>
      </w:r>
    </w:p>
    <w:p>
      <w:pPr>
        <w:spacing w:before="0" w:after="0" w:line="408" w:lineRule="exact"/>
        <w:ind w:left="0" w:right="0" w:firstLine="576"/>
        <w:jc w:val="left"/>
      </w:pPr>
      <w:r>
        <w:rPr/>
        <w:t xml:space="preserve">(e) The areas added to the urban growth areas are suitable for urban growth;</w:t>
      </w:r>
    </w:p>
    <w:p>
      <w:pPr>
        <w:spacing w:before="0" w:after="0" w:line="408" w:lineRule="exact"/>
        <w:ind w:left="0" w:right="0" w:firstLine="576"/>
        <w:jc w:val="left"/>
      </w:pPr>
      <w:r>
        <w:rPr/>
        <w:t xml:space="preserve">(f) The transportation element and capital facility plan element of the county's comprehensive plan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(g) The areas removed from the urban growth area are not characterized by urban growth or urban densities;</w:t>
      </w:r>
    </w:p>
    <w:p>
      <w:pPr>
        <w:spacing w:before="0" w:after="0" w:line="408" w:lineRule="exact"/>
        <w:ind w:left="0" w:right="0" w:firstLine="576"/>
        <w:jc w:val="left"/>
      </w:pPr>
      <w:r>
        <w:rPr/>
        <w:t xml:space="preserve">(h)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(i) The county's proposed urban growth area revision has been reviewed according to the process and procedure in the countywide planning policies adopted and approved according to RCW 36.70A.210; and</w:t>
      </w:r>
    </w:p>
    <w:p>
      <w:pPr>
        <w:spacing w:before="0" w:after="0" w:line="408" w:lineRule="exact"/>
        <w:ind w:left="0" w:right="0" w:firstLine="576"/>
        <w:jc w:val="left"/>
      </w:pPr>
      <w:r>
        <w:rPr/>
        <w:t xml:space="preserve">(j) The revised urban growth area meets all other requirements of this section.</w:t>
      </w:r>
    </w:p>
    <w:p>
      <w:pPr>
        <w:spacing w:before="0" w:after="0" w:line="408" w:lineRule="exact"/>
        <w:ind w:left="0" w:right="0" w:firstLine="576"/>
        <w:jc w:val="left"/>
      </w:pPr>
      <w:r>
        <w:rPr/>
        <w:t xml:space="preserve">(9)(a) At the earliest possible date prior to the revision of the county's urban growth area authorized under subsection (8) of this section, the county must engage in meaningful consultation with any federally recognized Indian tribe that may be potentially affected by the proposed revision. Meaningful consultation must include discussion of the potential impacts to cultural resources and tribal treaty rights.</w:t>
      </w:r>
    </w:p>
    <w:p>
      <w:pPr>
        <w:spacing w:before="0" w:after="0" w:line="408" w:lineRule="exact"/>
        <w:ind w:left="0" w:right="0" w:firstLine="576"/>
        <w:jc w:val="left"/>
      </w:pPr>
      <w:r>
        <w:rPr/>
        <w:t xml:space="preserve">(b) A county must notify the affected federally recognized Indian tribe of the proposed revision using at least two methods, including by mail. Upon receiving a notice, the federally recognized Indian tribe may request a consultation to determine whether an agreement can be reached related to the revision of the county's urban growth area. If an agreement is not reached, the parties must enter mediation pursuant to RCW 36.70A.040.</w:t>
      </w:r>
    </w:p>
    <w:p>
      <w:pPr>
        <w:spacing w:before="0" w:after="0" w:line="408" w:lineRule="exact"/>
        <w:ind w:left="0" w:right="0" w:firstLine="576"/>
        <w:jc w:val="left"/>
      </w:pPr>
      <w:r>
        <w:rPr/>
        <w:t xml:space="preserve">(10)(a) Except as provided in (b) of this subsection, the expansion of an urban growth area is prohibited into the </w:t>
      </w:r>
      <w:r>
        <w:t>((</w:t>
      </w:r>
      <w:r>
        <w:rPr>
          <w:strike/>
        </w:rPr>
        <w:t xml:space="preserve">one hundred</w:t>
      </w:r>
      <w:r>
        <w:t>))</w:t>
      </w:r>
      <w:r>
        <w:rPr/>
        <w:t xml:space="preserve"> </w:t>
      </w:r>
      <w:r>
        <w:rPr>
          <w:u w:val="single"/>
        </w:rPr>
        <w:t xml:space="preserve">100</w:t>
      </w:r>
      <w:r>
        <w:rPr/>
        <w:t xml:space="preserve"> year floodplain of any river or river segment that: (i) Is located west of the crest of the Cascade mountains; and (ii) has a mean annual flow of </w:t>
      </w:r>
      <w:r>
        <w:t>((</w:t>
      </w:r>
      <w:r>
        <w:rPr>
          <w:strike/>
        </w:rPr>
        <w:t xml:space="preserve">one thousand</w:t>
      </w:r>
      <w:r>
        <w:t>))</w:t>
      </w:r>
      <w:r>
        <w:rPr/>
        <w:t xml:space="preserve"> </w:t>
      </w:r>
      <w:r>
        <w:rPr>
          <w:u w:val="single"/>
        </w:rPr>
        <w:t xml:space="preserve">1,000</w:t>
      </w:r>
      <w:r>
        <w:rPr/>
        <w:t xml:space="preserve"> or more cubic feet per second as determined by the department of ecology.</w:t>
      </w:r>
    </w:p>
    <w:p>
      <w:pPr>
        <w:spacing w:before="0" w:after="0" w:line="408" w:lineRule="exact"/>
        <w:ind w:left="0" w:right="0" w:firstLine="576"/>
        <w:jc w:val="left"/>
      </w:pPr>
      <w:r>
        <w:rPr/>
        <w:t xml:space="preserve">(b) Subsection (10)(a)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(10), "</w:t>
      </w:r>
      <w:r>
        <w:t>((</w:t>
      </w:r>
      <w:r>
        <w:rPr>
          <w:strike/>
        </w:rPr>
        <w:t xml:space="preserve">one hundred</w:t>
      </w:r>
      <w:r>
        <w:t>))</w:t>
      </w:r>
      <w:r>
        <w:rPr/>
        <w:t xml:space="preserve"> </w:t>
      </w:r>
      <w:r>
        <w:rPr>
          <w:u w:val="single"/>
        </w:rPr>
        <w:t xml:space="preserve">100</w:t>
      </w:r>
      <w:r>
        <w:rPr/>
        <w:t xml:space="preserve"> year floodplain" means the same as "special flood hazard area" as set forth in WAC 173-158-040 as it exists on July 26, 2009.</w:t>
      </w:r>
    </w:p>
    <w:p>
      <w:pPr>
        <w:spacing w:before="0" w:after="0" w:line="408" w:lineRule="exact"/>
        <w:ind w:left="0" w:right="0" w:firstLine="576"/>
        <w:jc w:val="left"/>
      </w:pPr>
      <w:r>
        <w:rPr/>
        <w:t xml:space="preserve">(11) If a county, city, or utility has adopted a capital facility plan or utilities element to provide sewer service within the urban growth areas during the </w:t>
      </w:r>
      <w:r>
        <w:t>((</w:t>
      </w:r>
      <w:r>
        <w:rPr>
          <w:strike/>
        </w:rPr>
        <w:t xml:space="preserve">twenty-year</w:t>
      </w:r>
      <w:r>
        <w:t>))</w:t>
      </w:r>
      <w:r>
        <w:rPr/>
        <w:t xml:space="preserve"> </w:t>
      </w:r>
      <w:r>
        <w:rPr>
          <w:u w:val="single"/>
        </w:rPr>
        <w:t xml:space="preserve">20-year</w:t>
      </w:r>
      <w:r>
        <w:rPr/>
        <w:t xml:space="preserve"> planning period, nothing in this chapter obligates counties, cities, or utilities to install sanitary sewer systems to properties within urban growth areas designated under subsection (2) of this section by the end of the </w:t>
      </w:r>
      <w:r>
        <w:t>((</w:t>
      </w:r>
      <w:r>
        <w:rPr>
          <w:strike/>
        </w:rPr>
        <w:t xml:space="preserve">twenty-year</w:t>
      </w:r>
      <w:r>
        <w:t>))</w:t>
      </w:r>
      <w:r>
        <w:rPr/>
        <w:t xml:space="preserve"> </w:t>
      </w:r>
      <w:r>
        <w:rPr>
          <w:u w:val="single"/>
        </w:rPr>
        <w:t xml:space="preserve">20-year</w:t>
      </w:r>
      <w:r>
        <w:rPr/>
        <w:t xml:space="preserve">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floodplains, fish and wildlife habitats, or geological hazards.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2024 c 17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a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w:t>
      </w:r>
      <w:r>
        <w:rPr>
          <w:u w:val="single"/>
        </w:rPr>
        <w:t xml:space="preserve">and to accommodate the inclusion of parcels that meet the criteria in section 2(1) of this act within the urban growth areas</w:t>
      </w:r>
      <w:r>
        <w:rPr/>
        <w:t xml:space="preserve">.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December 31, 2025, with the following review and, if needed, revision on or before June 30, 2035, and then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
      <w:pPr>
        <w:jc w:val="center"/>
      </w:pPr>
      <w:r>
        <w:rPr>
          <w:b/>
        </w:rPr>
        <w:t>--- END ---</w:t>
      </w:r>
    </w:p>
    <w:sectPr>
      <w:pgNumType w:start="1"/>
      <w:footerReference xmlns:r="http://schemas.openxmlformats.org/officeDocument/2006/relationships" r:id="R7db3c13cf78148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7a005834fa4adb" /><Relationship Type="http://schemas.openxmlformats.org/officeDocument/2006/relationships/footer" Target="/word/footer1.xml" Id="R7db3c13cf78148dd" /></Relationships>
</file>