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282cc11e74408" /></Relationships>
</file>

<file path=word/document.xml><?xml version="1.0" encoding="utf-8"?>
<w:document xmlns:w="http://schemas.openxmlformats.org/wordprocessingml/2006/main">
  <w:body>
    <w:p>
      <w:r>
        <w:t>H-0221.1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1049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Representatives Shavers, Leavitt, Berry, Reed, Doglio, Fosse, Simmons, Goodman, Wylie, Pollet, Duerr, Nance, Davis, Ormsby, Reeves, and Hill</w:t>
      </w:r>
    </w:p>
    <w:p/>
    <w:p>
      <w:r>
        <w:rPr>
          <w:t xml:space="preserve">Prefiled 12/12/24.</w:t>
        </w:rPr>
      </w:r>
      <w:r>
        <w:rPr>
          <w:t xml:space="preserve">Read first time 01/13/25.  </w:t>
        </w:rPr>
      </w:r>
      <w:r>
        <w:rPr>
          <w:t xml:space="preserve">Referred to Committee on Appropriations.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increasing the availability of sexual assault nurse examiners; and adding a new section to chapter 43.70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70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Subject to the availability of amounts appropriated for this specific purpose, the department shall establish a stipend program to defray the out-of-pocket expenses incurred by registered nurses completing the training necessary to become adult/adolescent or pediatric sexual assault nurse examiners.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total amount of the stipend for any individual nurse may not exceed $2,500.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purposes of this section, "out-of-pocket expenses" include: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Fees, tuition, educational materials, or other charges imposed by the entity providing training;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Reasonable travel expenses, including air travel, rental car costs, mileage on a personal vehicle, lodging, and meals;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Any other expenses deemed appropriate by the department.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department may adopt any rules necessary to implement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a3e364f59794dfa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1049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678e4b0014dbd" /><Relationship Type="http://schemas.openxmlformats.org/officeDocument/2006/relationships/footer" Target="/word/footer1.xml" Id="Rca3e364f59794dfa" /></Relationships>
</file>