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7ac9a9a8546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6246</w:t>
      </w:r>
    </w:p>
    <w:p>
      <w:pPr>
        <w:jc w:val="center"/>
        <w:spacing w:before="480" w:after="0" w:line="240"/>
      </w:pPr>
      <w:r>
        <w:t xml:space="preserve">Chapter </w:t>
      </w:r>
      <w:r>
        <w:rPr/>
        <w:t xml:space="preserve">290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FIREARM PROHIBITIONS—MENTAL HEALTH</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34</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84</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6246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1:27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6246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Dhingra, Kuderer, Nobles, Saldaña, Valdez, Wellman, and C. Wilson</w:t>
      </w:r>
    </w:p>
    <w:p/>
    <w:p>
      <w:r>
        <w:rPr>
          <w:t xml:space="preserve">Read first time 01/16/24.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transmission of information relating to firearm prohibitions for persons committed for mental health treatment; amending RCW 9.41.049 and 70.02.260; and reenacting and amending RCW 9.41.047, 10.77.086, 10.77.088, and 9.41.040.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2023 c 295 s 5 and 2023 c 161 s 3 are each reenacted and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under state or federal law, including if the person was convicted of possession under RCW 69.50.4011, 69.50.4013, 69.50.4014, or 69.41.030, or at the time a person is committed by court order under RCW 71.05.240, 71.05.320, 71.34.740, 71.34.750, or chapter 10.77 RCW for treatment for a mental disorder, or at the time that charges are dismissed based on incompetency to stand trial under RCW </w:t>
      </w:r>
      <w:r>
        <w:rPr>
          <w:u w:val="single"/>
        </w:rPr>
        <w:t xml:space="preserve">10.77.086, or the charges are dismissed based on incompetency to stand trial under RCW</w:t>
      </w:r>
      <w:r>
        <w:rPr/>
        <w:t xml:space="preserve"> 10.77.088 and the court makes a finding that the person has a history of one or more violent acts, the court shall notify the person, orally and in writing, that the person must immediately surrender all firearms </w:t>
      </w:r>
      <w:r>
        <w:rPr>
          <w:u w:val="single"/>
        </w:rPr>
        <w:t xml:space="preserve">to their local law enforcement agency</w:t>
      </w:r>
      <w:r>
        <w:rPr/>
        <w:t xml:space="preserve"> and any concealed pistol license and that the person may not possess a firearm unless the person's right to do so is restored by the superior court that issued the order.</w:t>
      </w:r>
    </w:p>
    <w:p>
      <w:pPr>
        <w:spacing w:before="0" w:after="0" w:line="408" w:lineRule="exact"/>
        <w:ind w:left="0" w:right="0" w:firstLine="576"/>
        <w:jc w:val="left"/>
      </w:pPr>
      <w:r>
        <w:rPr/>
        <w:t xml:space="preserve">(b) The court shall forward within three judicial days </w:t>
      </w:r>
      <w:r>
        <w:t>((</w:t>
      </w:r>
      <w:r>
        <w:rPr>
          <w:strike/>
        </w:rPr>
        <w:t xml:space="preserve">after</w:t>
      </w:r>
      <w:r>
        <w:t>))</w:t>
      </w:r>
      <w:r>
        <w:rPr/>
        <w:t xml:space="preserve"> </w:t>
      </w:r>
      <w:r>
        <w:rPr>
          <w:u w:val="single"/>
        </w:rPr>
        <w:t xml:space="preserve">following</w:t>
      </w:r>
      <w:r>
        <w:rPr/>
        <w:t xml:space="preserve"> conviction</w:t>
      </w:r>
      <w:r>
        <w:t>((</w:t>
      </w:r>
      <w:r>
        <w:rPr>
          <w:strike/>
        </w:rPr>
        <w:t xml:space="preserve">,</w:t>
      </w:r>
      <w:r>
        <w:t>))</w:t>
      </w:r>
      <w:r>
        <w:rPr/>
        <w:t xml:space="preserve"> </w:t>
      </w:r>
      <w:r>
        <w:rPr>
          <w:u w:val="single"/>
        </w:rPr>
        <w:t xml:space="preserve">or</w:t>
      </w:r>
      <w:r>
        <w:rPr/>
        <w:t xml:space="preserve"> finding of not guilty by reason of insanity</w:t>
      </w:r>
      <w:r>
        <w:t>((</w:t>
      </w:r>
      <w:r>
        <w:rPr>
          <w:strike/>
        </w:rPr>
        <w:t xml:space="preserve">, entry of the commitment order, or dismissal of charges,</w:t>
      </w:r>
      <w:r>
        <w:t>))</w:t>
      </w:r>
      <w:r>
        <w:rPr/>
        <w:t xml:space="preserve"> a copy of the person's driver's license or identicard, or comparable information such as the person's name, address, and date of birth, along with the date of conviction </w:t>
      </w:r>
      <w:r>
        <w:t>((</w:t>
      </w:r>
      <w:r>
        <w:rPr>
          <w:strike/>
        </w:rPr>
        <w:t xml:space="preserve">or commitment, or date charges are dismissed</w:t>
      </w:r>
      <w:r>
        <w:t>))</w:t>
      </w:r>
      <w:r>
        <w:rPr/>
        <w:t xml:space="preserve"> </w:t>
      </w:r>
      <w:r>
        <w:rPr>
          <w:u w:val="single"/>
        </w:rPr>
        <w:t xml:space="preserve">or finding of not guilty by reason of insanity</w:t>
      </w:r>
      <w:r>
        <w:rPr/>
        <w:t xml:space="preserve">, to the department of licensing and to the Washington state patrol firearms background check program. </w:t>
      </w:r>
      <w:r>
        <w:t>((</w:t>
      </w:r>
      <w:r>
        <w:rPr>
          <w:strike/>
        </w:rPr>
        <w:t xml:space="preserve">When a person is committed</w:t>
      </w:r>
      <w:r>
        <w:t>))</w:t>
      </w:r>
      <w:r>
        <w:rPr/>
        <w:t xml:space="preserve"> </w:t>
      </w:r>
    </w:p>
    <w:p>
      <w:pPr>
        <w:spacing w:before="0" w:after="0" w:line="408" w:lineRule="exact"/>
        <w:ind w:left="0" w:right="0" w:firstLine="576"/>
        <w:jc w:val="left"/>
      </w:pPr>
      <w:r>
        <w:rPr>
          <w:u w:val="single"/>
        </w:rPr>
        <w:t xml:space="preserve">(c) The court shall forward within three judicial days following commitment</w:t>
      </w:r>
      <w:r>
        <w:rPr/>
        <w:t xml:space="preserve"> by court order under RCW 71.05.240, 71.05.320, 71.34.740, 71.34.750, or chapter 10.77 RCW, for treatment for a mental disorder, or </w:t>
      </w:r>
      <w:r>
        <w:t>((</w:t>
      </w:r>
      <w:r>
        <w:rPr>
          <w:strike/>
        </w:rPr>
        <w:t xml:space="preserve">when a person's</w:t>
      </w:r>
      <w:r>
        <w:t>))</w:t>
      </w:r>
      <w:r>
        <w:rPr/>
        <w:t xml:space="preserve"> </w:t>
      </w:r>
      <w:r>
        <w:rPr>
          <w:u w:val="single"/>
        </w:rPr>
        <w:t xml:space="preserve">upon dismissal of</w:t>
      </w:r>
      <w:r>
        <w:rPr/>
        <w:t xml:space="preserve"> charges </w:t>
      </w:r>
      <w:r>
        <w:t>((</w:t>
      </w:r>
      <w:r>
        <w:rPr>
          <w:strike/>
        </w:rPr>
        <w:t xml:space="preserve">are dismissed</w:t>
      </w:r>
      <w:r>
        <w:t>))</w:t>
      </w:r>
      <w:r>
        <w:rPr/>
        <w:t xml:space="preserve"> based on incompetency to stand trial under RCW </w:t>
      </w:r>
      <w:r>
        <w:rPr>
          <w:u w:val="single"/>
        </w:rPr>
        <w:t xml:space="preserve">10.77.086, or the charges are dismissed based on incompetency to stand trial under RCW</w:t>
      </w:r>
      <w:r>
        <w:rPr/>
        <w:t xml:space="preserve"> 10.77.088 </w:t>
      </w:r>
      <w:r>
        <w:t>((</w:t>
      </w:r>
      <w:r>
        <w:rPr>
          <w:strike/>
        </w:rPr>
        <w:t xml:space="preserve">and</w:t>
      </w:r>
      <w:r>
        <w:t>))</w:t>
      </w:r>
      <w:r>
        <w:rPr/>
        <w:t xml:space="preserve"> </w:t>
      </w:r>
      <w:r>
        <w:rPr>
          <w:u w:val="single"/>
        </w:rPr>
        <w:t xml:space="preserve">when</w:t>
      </w:r>
      <w:r>
        <w:rPr/>
        <w:t xml:space="preserve"> the court makes a finding that the person has a history of one or more violent acts, </w:t>
      </w:r>
      <w:r>
        <w:t>((</w:t>
      </w:r>
      <w:r>
        <w:rPr>
          <w:strike/>
        </w:rPr>
        <w:t xml:space="preserve">the court also shall forward, within three judicial days after entry of the commitment order, or dismissal of charges,</w:t>
      </w:r>
      <w:r>
        <w:t>))</w:t>
      </w:r>
      <w:r>
        <w:rPr/>
        <w:t xml:space="preserve"> a copy of the person's driver's license </w:t>
      </w:r>
      <w:r>
        <w:rPr>
          <w:u w:val="single"/>
        </w:rPr>
        <w:t xml:space="preserve">or identicard</w:t>
      </w:r>
      <w:r>
        <w:rPr/>
        <w:t xml:space="preserve">, or comparable information </w:t>
      </w:r>
      <w:r>
        <w:rPr>
          <w:u w:val="single"/>
        </w:rPr>
        <w:t xml:space="preserve">such as the person's name, address, and date of birth</w:t>
      </w:r>
      <w:r>
        <w:rPr/>
        <w:t xml:space="preserve">, along with the date of commitment or date charges are dismissed, to the national instant criminal background check system index, denied persons file, created by the federal Brady handgun violence prevention act (P.L. 103-159)</w:t>
      </w:r>
      <w:r>
        <w:rPr>
          <w:u w:val="single"/>
        </w:rPr>
        <w:t xml:space="preserve">,</w:t>
      </w:r>
      <w:r>
        <w:rPr/>
        <w:t xml:space="preserve"> and to the </w:t>
      </w:r>
      <w:r>
        <w:rPr>
          <w:u w:val="single"/>
        </w:rPr>
        <w:t xml:space="preserve">department of licensing,</w:t>
      </w:r>
      <w:r>
        <w:rPr/>
        <w:t xml:space="preserve"> Washington state patrol </w:t>
      </w:r>
      <w:r>
        <w:rPr>
          <w:u w:val="single"/>
        </w:rPr>
        <w:t xml:space="preserve">firearms background check program, and the criminal division of the county prosecutor in the county of commitment or the county in which charges are dismissed</w:t>
      </w:r>
      <w:r>
        <w:rPr/>
        <w:t xml:space="preserve">. The petitioning party shall provide the court with the information required. If more than one commitment order is entered under one cause number, only one notification to the </w:t>
      </w:r>
      <w:r>
        <w:rPr>
          <w:u w:val="single"/>
        </w:rPr>
        <w:t xml:space="preserve">national instant criminal background check system, the</w:t>
      </w:r>
      <w:r>
        <w:rPr/>
        <w:t xml:space="preserve"> department of licensing, the Washington state patrol firearms background check program, and the </w:t>
      </w:r>
      <w:r>
        <w:t>((</w:t>
      </w:r>
      <w:r>
        <w:rPr>
          <w:strike/>
        </w:rPr>
        <w:t xml:space="preserve">national instant criminal background check system</w:t>
      </w:r>
      <w:r>
        <w:t>))</w:t>
      </w:r>
      <w:r>
        <w:rPr/>
        <w:t xml:space="preserve"> </w:t>
      </w:r>
      <w:r>
        <w:rPr>
          <w:u w:val="single"/>
        </w:rPr>
        <w:t xml:space="preserve">criminal division of the county prosecutor in the county of commitment or county in which charges are dismissed</w:t>
      </w:r>
      <w:r>
        <w:rPr/>
        <w:t xml:space="preserve">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person has a concealed pistol license. If the person has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treatment for a mental disorder under RCW 71.05.240, 71.05.320, 71.34.740, 71.34.750, chapter 10.77 RCW, or equivalent statutes of another jurisdiction, or by reason of having been detained under RCW 71.05.150 or 71.05.153, or because the person's charges were dismissed based on incompetency to stand trial under RCW </w:t>
      </w:r>
      <w:r>
        <w:rPr>
          <w:u w:val="single"/>
        </w:rPr>
        <w:t xml:space="preserve">10.77.086, or the charges were dismissed based on incompetency to stand trial under RCW</w:t>
      </w:r>
      <w:r>
        <w:rPr/>
        <w:t xml:space="preserve"> 10.77.088 and the court made a finding that the person has a history of one or more violent acts, may, upon discharge, petition the superior court to have his or her right to possess a firearm restored, except that a person found not guilty by reason of insanity may not petition for restoration of the right to possess a firearm until one year after discharge.</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firearm rights shall be restored if the person petitioning for restoration of firearm rights proves by a preponderance of the evidence that:</w:t>
      </w:r>
    </w:p>
    <w:p>
      <w:pPr>
        <w:spacing w:before="0" w:after="0" w:line="408" w:lineRule="exact"/>
        <w:ind w:left="0" w:right="0" w:firstLine="576"/>
        <w:jc w:val="left"/>
      </w:pPr>
      <w:r>
        <w:rPr/>
        <w:t xml:space="preserve">(i) The person petitioning for restoration of firearm rights is no longer required to participate in court-ordered inpatient or outpatient treatment;</w:t>
      </w:r>
    </w:p>
    <w:p>
      <w:pPr>
        <w:spacing w:before="0" w:after="0" w:line="408" w:lineRule="exact"/>
        <w:ind w:left="0" w:right="0" w:firstLine="576"/>
        <w:jc w:val="left"/>
      </w:pPr>
      <w:r>
        <w:rPr/>
        <w:t xml:space="preserve">(ii) The person petitioning for restoration of firearm rights has successfully managed the condition related to the commitment or detention or incompetency;</w:t>
      </w:r>
    </w:p>
    <w:p>
      <w:pPr>
        <w:spacing w:before="0" w:after="0" w:line="408" w:lineRule="exact"/>
        <w:ind w:left="0" w:right="0" w:firstLine="576"/>
        <w:jc w:val="left"/>
      </w:pPr>
      <w:r>
        <w:rPr/>
        <w:t xml:space="preserve">(iii) The person petitioning for restoration of firearm rights no longer presents a substantial danger to self or to the public; </w:t>
      </w:r>
      <w:r>
        <w:t>((</w:t>
      </w:r>
      <w:r>
        <w:rPr>
          <w:strike/>
        </w:rPr>
        <w:t xml:space="preserve">and</w:t>
      </w:r>
      <w:r>
        <w:t>))</w:t>
      </w:r>
    </w:p>
    <w:p>
      <w:pPr>
        <w:spacing w:before="0" w:after="0" w:line="408" w:lineRule="exact"/>
        <w:ind w:left="0" w:right="0" w:firstLine="576"/>
        <w:jc w:val="left"/>
      </w:pPr>
      <w:r>
        <w:rPr/>
        <w:t xml:space="preserve">(iv) The symptoms related to the commitment or detention or incompetency are not reasonably likely to recur</w:t>
      </w:r>
      <w:r>
        <w:rPr>
          <w:u w:val="single"/>
        </w:rPr>
        <w:t xml:space="preserve">; and</w:t>
      </w:r>
    </w:p>
    <w:p>
      <w:pPr>
        <w:spacing w:before="0" w:after="0" w:line="408" w:lineRule="exact"/>
        <w:ind w:left="0" w:right="0" w:firstLine="576"/>
        <w:jc w:val="left"/>
      </w:pPr>
      <w:r>
        <w:rPr>
          <w:u w:val="single"/>
        </w:rPr>
        <w:t xml:space="preserve">(v) There is no active extreme risk protection order or order to surrender and prohibit weapons entered against the petitioner</w:t>
      </w:r>
      <w:r>
        <w:rPr/>
        <w:t xml:space="preserve">.</w:t>
      </w:r>
    </w:p>
    <w:p>
      <w:pPr>
        <w:spacing w:before="0" w:after="0" w:line="408" w:lineRule="exact"/>
        <w:ind w:left="0" w:right="0" w:firstLine="576"/>
        <w:jc w:val="left"/>
      </w:pPr>
      <w:r>
        <w:rPr/>
        <w:t xml:space="preserve">(d) If a preponderance of the evidence in the record supports a finding that the person petitioning for restoration of firearm rights has engaged in violence and that it is more likely than not that the person will engage in violence after the person's right to possess a firearm is restored, the person petitioning for restoration of firearm rights shall bear the burden of proving by clear, cogent, and convincing evidence that the person does not present a substantial danger to the safety of others.</w:t>
      </w:r>
    </w:p>
    <w:p>
      <w:pPr>
        <w:spacing w:before="0" w:after="0" w:line="408" w:lineRule="exact"/>
        <w:ind w:left="0" w:right="0" w:firstLine="576"/>
        <w:jc w:val="left"/>
      </w:pPr>
      <w:r>
        <w:rPr/>
        <w:t xml:space="preserve">(e) If the person seeking restoration of firearm rights seeks restoration after having been detained under RCW 71.05.150 or 71.05.153, the state shall bear the burden of proof to show, by a preponderance of the evidence, that the person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and the Washington state patrol criminal records division, with a copy of the person's driver's license or identicard, or comparable identification such as the person's name, address, and date of birth, and to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person's concealed pistol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w:t>
      </w:r>
      <w:r>
        <w:rPr>
          <w:u w:val="single"/>
        </w:rPr>
        <w:t xml:space="preserve">, the criminal division of the county prosecutor in the county in which the petition was filed,</w:t>
      </w:r>
      <w:r>
        <w:rPr/>
        <w:t xml:space="preserve"> and </w:t>
      </w:r>
      <w:r>
        <w:t>((</w:t>
      </w:r>
      <w:r>
        <w:rPr>
          <w:strike/>
        </w:rPr>
        <w:t xml:space="preserve">to</w:t>
      </w:r>
      <w:r>
        <w:t>))</w:t>
      </w:r>
      <w:r>
        <w:rPr/>
        <w:t xml:space="preserve"> the </w:t>
      </w:r>
      <w:r>
        <w:rPr>
          <w:u w:val="single"/>
        </w:rPr>
        <w:t xml:space="preserve">Washington</w:t>
      </w:r>
      <w:r>
        <w:rPr/>
        <w:t xml:space="preserve"> state patrol </w:t>
      </w:r>
      <w:r>
        <w:rPr>
          <w:u w:val="single"/>
        </w:rPr>
        <w:t xml:space="preserve">firearms background check program</w:t>
      </w:r>
      <w:r>
        <w:rPr/>
        <w:t xml:space="preserve">, </w:t>
      </w:r>
      <w:r>
        <w:t>((</w:t>
      </w:r>
      <w:r>
        <w:rPr>
          <w:strike/>
        </w:rPr>
        <w:t xml:space="preserve">who</w:t>
      </w:r>
      <w:r>
        <w:t>))</w:t>
      </w:r>
      <w:r>
        <w:rPr/>
        <w:t xml:space="preserve"> </w:t>
      </w:r>
      <w:r>
        <w:rPr>
          <w:u w:val="single"/>
        </w:rPr>
        <w:t xml:space="preserve">which</w:t>
      </w:r>
      <w:r>
        <w:rPr/>
        <w:t xml:space="preserve">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2023 c 453 s 8 and 2023 c 433 s 18 are each reenacted and amended to read as follows:</w:t>
      </w:r>
    </w:p>
    <w:p>
      <w:pPr>
        <w:spacing w:before="0" w:after="0" w:line="408" w:lineRule="exact"/>
        <w:ind w:left="0" w:right="0" w:firstLine="576"/>
        <w:jc w:val="left"/>
      </w:pPr>
      <w:r>
        <w:rPr/>
        <w:t xml:space="preserve">(1)(a) Except as otherwise provided in this section,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(b) For a defendant who is determined to be incompetent and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the court shall first consider all available and appropriate alternatives to inpatient competency restoration. The court shall dismiss the proceedings without prejudice upon agreement of the parties if the forensic navigator has found an appropriate and available diversion program willing to accept the defendant.</w:t>
      </w:r>
    </w:p>
    <w:p>
      <w:pPr>
        <w:spacing w:before="0" w:after="0" w:line="408" w:lineRule="exact"/>
        <w:ind w:left="0" w:right="0" w:firstLine="576"/>
        <w:jc w:val="left"/>
      </w:pPr>
      <w:r>
        <w:rPr/>
        <w:t xml:space="preserve">(2)(a)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or emergency department of a local hospital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(3)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(4) When any defendant whose highest charge is a class C felony other than assault in the third degree under RCW 9A.36.031(1) (d) or (f), felony physical control of a vehicle under RCW 46.61.504(6), felony hit and run resulting in injury under RCW 46.52.020(4)(b), a hate crime offense under RCW 9A.36.080, a class C felony with a domestic violence designation, a class C felony sex offense as defined in RCW 9.94A.030, or a class C felony with a sexual motivation allegation is admitted for inpatient competency restoration with an accompanying court order for involuntary medication under RCW 10.77.092, and the defendant is found not competent to stand trial following that period of competency restoration, the court shall dismiss the charges pursuant to subsection (7) of this section.</w:t>
      </w:r>
    </w:p>
    <w:p>
      <w:pPr>
        <w:spacing w:before="0" w:after="0" w:line="408" w:lineRule="exact"/>
        <w:ind w:left="0" w:right="0" w:firstLine="576"/>
        <w:jc w:val="left"/>
      </w:pPr>
      <w:r>
        <w:rPr/>
        <w:t xml:space="preserve">(5)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(7) of this section.</w:t>
      </w:r>
    </w:p>
    <w:p>
      <w:pPr>
        <w:spacing w:before="0" w:after="0" w:line="408" w:lineRule="exact"/>
        <w:ind w:left="0" w:right="0" w:firstLine="576"/>
        <w:jc w:val="left"/>
      </w:pPr>
      <w:r>
        <w:rPr/>
        <w:t xml:space="preserve">(6)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 is ineligible for a subsequent competency restoration period under subsection (4) of this section or the defendant's incompetence has been determined by the secretary to be solely the result of an intellectual or developmental disability, dementia, or traumatic brain injury which is such that competence is not reasonably likely to be regained during an extension.</w:t>
      </w:r>
    </w:p>
    <w:p>
      <w:pPr>
        <w:spacing w:before="0" w:after="0" w:line="408" w:lineRule="exact"/>
        <w:ind w:left="0" w:right="0" w:firstLine="576"/>
        <w:jc w:val="left"/>
      </w:pPr>
      <w:r>
        <w:rPr/>
        <w:t xml:space="preserve">(7)(a) Except as provided in (b) of this subsection, at the hearing upon the expiration of the second competency restoration period, or at the end of the first competency restoration period if the defendant is ineligible for a second or third competency restoration period under subsection </w:t>
      </w:r>
      <w:r>
        <w:t>((</w:t>
      </w:r>
      <w:r>
        <w:rPr>
          <w:strike/>
        </w:rPr>
        <w:t xml:space="preserve">(3)</w:t>
      </w:r>
      <w:r>
        <w:t>))</w:t>
      </w:r>
      <w:r>
        <w:rPr/>
        <w:t xml:space="preserve"> </w:t>
      </w:r>
      <w:r>
        <w:rPr>
          <w:u w:val="single"/>
        </w:rPr>
        <w:t xml:space="preserve">(4)</w:t>
      </w:r>
      <w:r>
        <w:rPr/>
        <w:t xml:space="preserve"> or (6) of this section, if the jury or court finds that the defendant is incompetent to stand trial, the court shall dismiss the charges without prejudice and order the defendant to be committed to the department for placement in a facility operated or contracted by the department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t xml:space="preserve">(b) The court shall not dismiss the charges if the defendant is eligible for a second or third competency restoration period under subsection (6) of this section and the court or jury finds that: (i) The defendant (A) is a substantial danger to other persons; or (B) presents a substantial likelihood of committing criminal acts jeopardizing public safety or security; and (ii)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0" w:after="0" w:line="408" w:lineRule="exact"/>
        <w:ind w:left="0" w:right="0" w:firstLine="576"/>
        <w:jc w:val="left"/>
      </w:pPr>
      <w:r>
        <w:rPr>
          <w:u w:val="single"/>
        </w:rPr>
        <w:t xml:space="preserve">(9) If at any time the court dismisses charges based on incompetency to stand trial under this section, the court shall issue an order prohibiting the defendant from the possession of firearms until a court restores his or her right to possess a firearm under RCW 9.41.047. The court shall notify the defendant orally and in writing that the defendant may not possess a firearm unless the defendant's right to do so is restored by the superior court that issued the order under RCW 9.41.047, and that the defendant must immediately surrender all firearms and any concealed pistol license to their local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2023 c 453 s 9 and 2023 c 433 s 19 are each reenacted and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 court shall first consider all available and appropriate alternatives to inpatient competency restoration. If the parties agree that there is an appropriate diversion program available to accept the defendant, the court shall dismiss the proceedings without prejudice and refer the defendant to the recommended diversion program. If the parties do not agree that there is an appropriate diversion program available to accept the defendant, then the court:</w:t>
      </w:r>
    </w:p>
    <w:p>
      <w:pPr>
        <w:spacing w:before="0" w:after="0" w:line="408" w:lineRule="exact"/>
        <w:ind w:left="0" w:right="0" w:firstLine="576"/>
        <w:jc w:val="left"/>
      </w:pPr>
      <w:r>
        <w:rPr/>
        <w:t xml:space="preserve">(a) Shall dismiss the proceedings without prejudice and detain the defendant pursuant to subsection (6) of this section,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defendant is subject to an order under chapter 71.05 RCW or proceedings under chapter 71.05 RCW have been initiated, there is a rebuttable presumption that there is no compelling state interest in ordering competency restoration treatment.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(2)(a) If a court finds pursuant to subsection (1)(b) of this section that there is a compelling state interest in pursuing competency restoration treatment, the court shall order the defendant to receive outpatient competency restoration consistent with the recommendation of the forensic navigator, unless the court finds that an order for outpatient competency restoration is inappropriate considering the health and safety of the defendant and risks to public safety.</w:t>
      </w:r>
    </w:p>
    <w:p>
      <w:pPr>
        <w:spacing w:before="0" w:after="0" w:line="408" w:lineRule="exact"/>
        <w:ind w:left="0" w:right="0" w:firstLine="576"/>
        <w:jc w:val="left"/>
      </w:pPr>
      <w:r>
        <w:rPr/>
        <w:t xml:space="preserve">(b) To be eligible for an order for outpatient competency restoration, a defendant must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(c)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rPr/>
        <w:t xml:space="preserve">(d)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or emergency department of a local hospital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(f)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(g) If the court does not order the defendant to receive outpatient competency restoration under (a) of this subsection, the court shall commit the defendant to the department for placement in a facility operated or contracted by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Beginning October 1, 2023, 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p>
    <w:p>
      <w:pPr>
        <w:spacing w:before="0" w:after="0" w:line="408" w:lineRule="exact"/>
        <w:ind w:left="0" w:right="0" w:firstLine="576"/>
        <w:jc w:val="left"/>
      </w:pPr>
      <w:r>
        <w:rPr/>
        <w:t xml:space="preserve">(5)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(6) of this section.</w:t>
      </w:r>
    </w:p>
    <w:p>
      <w:pPr>
        <w:spacing w:before="0" w:after="0" w:line="408" w:lineRule="exact"/>
        <w:ind w:left="0" w:right="0" w:firstLine="576"/>
        <w:jc w:val="left"/>
      </w:pPr>
      <w:r>
        <w:rPr/>
        <w:t xml:space="preserve">(6)(a)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(7)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(8) If at any time the court dismisses charges under subsections (1) through (7) of this section, the court shall make a finding as to whether the defendant has a history of one or more violent acts. If the court so finds, the </w:t>
      </w:r>
      <w:r>
        <w:t>((</w:t>
      </w:r>
      <w:r>
        <w:rPr>
          <w:strike/>
        </w:rPr>
        <w:t xml:space="preserve">defendant is barred</w:t>
      </w:r>
      <w:r>
        <w:t>))</w:t>
      </w:r>
      <w:r>
        <w:rPr/>
        <w:t xml:space="preserve"> </w:t>
      </w:r>
      <w:r>
        <w:rPr>
          <w:u w:val="single"/>
        </w:rPr>
        <w:t xml:space="preserve">court shall issue an order prohibiting the defendant</w:t>
      </w:r>
      <w:r>
        <w:rPr/>
        <w:t xml:space="preserve"> from the possession of firearms until a court restores his or her right to possess a firearm under RCW 9.41.047. The court shall </w:t>
      </w:r>
      <w:r>
        <w:t>((</w:t>
      </w:r>
      <w:r>
        <w:rPr>
          <w:strike/>
        </w:rPr>
        <w:t xml:space="preserve">state to the defendant and provide written notice that the defendant is barred from the possession of firearms and that the prohibition remains in effect until a court restores his or her right to possess a firearm under RCW 9.41.047</w:t>
      </w:r>
      <w:r>
        <w:t>))</w:t>
      </w:r>
      <w:r>
        <w:rPr/>
        <w:t xml:space="preserve"> </w:t>
      </w:r>
      <w:r>
        <w:rPr>
          <w:u w:val="single"/>
        </w:rPr>
        <w:t xml:space="preserve">notify the defendant orally and in writing that the defendant may not possess a firearm unless the defendant's right to do so is restored by the superior court that issued the order under RCW 9.41.047, and that the defendant must immediately surrender all firearms and any concealed pistol license to their local law enforcement agency</w:t>
      </w:r>
      <w:r>
        <w:rPr/>
        <w:t xml:space="preserve">.</w:t>
      </w:r>
    </w:p>
    <w:p>
      <w:pPr>
        <w:spacing w:before="0" w:after="0" w:line="408" w:lineRule="exact"/>
        <w:ind w:left="0" w:right="0" w:firstLine="576"/>
        <w:jc w:val="left"/>
      </w:pPr>
      <w:r>
        <w:rPr/>
        <w:t xml:space="preserve">(9)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2023 c 295 s 3 and 2023 c 262 s 2 are each reenacted and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accesses, has in the person's custody, control, or possession, or receives any firearm after having previously been convicted or found not guilty by reason of insanity in this state or elsewhere of any serious offense.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accesses, has in the person's custody, control, or possession, or receives any firearm:</w:t>
      </w:r>
    </w:p>
    <w:p>
      <w:pPr>
        <w:spacing w:before="0" w:after="0" w:line="408" w:lineRule="exact"/>
        <w:ind w:left="0" w:right="0" w:firstLine="576"/>
        <w:jc w:val="left"/>
      </w:pPr>
      <w:r>
        <w:rPr/>
        <w:t xml:space="preserve">(i) After having previously been convicted or found not guilty by reason of insanity in this state or elsewhere of:</w:t>
      </w:r>
    </w:p>
    <w:p>
      <w:pPr>
        <w:spacing w:before="0" w:after="0" w:line="408" w:lineRule="exact"/>
        <w:ind w:left="0" w:right="0" w:firstLine="576"/>
        <w:jc w:val="left"/>
      </w:pPr>
      <w:r>
        <w:rPr/>
        <w:t xml:space="preserve">(A) Any felony not specifically listed as prohibiting firearm possession under subsection (1) of this section;</w:t>
      </w:r>
    </w:p>
    <w:p>
      <w:pPr>
        <w:spacing w:before="0" w:after="0" w:line="408" w:lineRule="exact"/>
        <w:ind w:left="0" w:right="0" w:firstLine="576"/>
        <w:jc w:val="left"/>
      </w:pPr>
      <w:r>
        <w:rPr/>
        <w:t xml:space="preserve">(B)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(C) Harassment when committed by one family or household member against another or by one intimate partner against another, as those terms are defined by the statutes in effect at the time of the commission of the crime, committed on or after June 7, 2018;</w:t>
      </w:r>
    </w:p>
    <w:p>
      <w:pPr>
        <w:spacing w:before="0" w:after="0" w:line="408" w:lineRule="exact"/>
        <w:ind w:left="0" w:right="0" w:firstLine="576"/>
        <w:jc w:val="left"/>
      </w:pPr>
      <w:r>
        <w:rPr/>
        <w:t xml:space="preserve">(D) Any of the following misdemeanor or gross misdemeanor crimes not included under (a)(i) (B) or (C) of this subsection, committed on or after July 23, 2023: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t xml:space="preserve">(E)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or</w:t>
      </w:r>
    </w:p>
    <w:p>
      <w:pPr>
        <w:spacing w:before="0" w:after="0" w:line="408" w:lineRule="exact"/>
        <w:ind w:left="0" w:right="0" w:firstLine="576"/>
        <w:jc w:val="left"/>
      </w:pPr>
      <w:r>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July 23, 2023;</w:t>
      </w:r>
    </w:p>
    <w:p>
      <w:pPr>
        <w:spacing w:before="0" w:after="0" w:line="408" w:lineRule="exact"/>
        <w:ind w:left="0" w:right="0" w:firstLine="576"/>
        <w:jc w:val="left"/>
      </w:pPr>
      <w:r>
        <w:rPr/>
        <w:t xml:space="preserve">(ii) During any period of time that the person is subject to a protection order, no-contact order, or restraining order by a court issued under chapter 7.105, 9A.40, 9A.44, 9A.46, 9A.88,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others identified in the order, or engaging in other conduct that would place the protected person in reasonable fear of bodily injury to the protected person or child or others identified in the order; and</w:t>
      </w:r>
    </w:p>
    <w:p>
      <w:pPr>
        <w:spacing w:before="0" w:after="0" w:line="408" w:lineRule="exact"/>
        <w:ind w:left="0" w:right="0" w:firstLine="576"/>
        <w:jc w:val="left"/>
      </w:pPr>
      <w:r>
        <w:rPr/>
        <w:t xml:space="preserve">(C)(I) Includes a finding that the person represents a credible threat to the physical safety of the protected person or child or others identified in the order, or by its terms explicitly prohibits the use, attempted use, or threatened use of physical force against the protected person or child or other persons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(iii)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After dismissal of criminal charges based on incompetency to stand trial under </w:t>
      </w:r>
      <w:r>
        <w:rPr>
          <w:u w:val="single"/>
        </w:rPr>
        <w:t xml:space="preserve">RCW 10.77.086, or after dismissal of criminal charges based on incompetency to stand trial under</w:t>
      </w:r>
      <w:r>
        <w:rPr/>
        <w:t xml:space="preserve">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 If the person is under 18 years of age, except as provided in RCW 9.41.042; and/or</w:t>
      </w:r>
    </w:p>
    <w:p>
      <w:pPr>
        <w:spacing w:before="0" w:after="0" w:line="408" w:lineRule="exact"/>
        <w:ind w:left="0" w:right="0" w:firstLine="576"/>
        <w:jc w:val="left"/>
      </w:pPr>
      <w:r>
        <w:rPr/>
        <w:t xml:space="preserve">(vi) If the person is free on bond or personal recognizance pending trial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t xml:space="preserve">(c) Each firearm unlawfully possessed under this subsection (7) shall be a separate infraction.</w:t>
      </w:r>
    </w:p>
    <w:p>
      <w:pPr>
        <w:spacing w:before="0" w:after="0" w:line="408" w:lineRule="exact"/>
        <w:ind w:left="0" w:right="0" w:firstLine="576"/>
        <w:jc w:val="left"/>
      </w:pPr>
      <w:r>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t xml:space="preserve">(8) Each firearm unlawfully possessed under this section shall be a separate offense.</w:t>
      </w:r>
    </w:p>
    <w:p>
      <w:pPr>
        <w:spacing w:before="0" w:after="0" w:line="408" w:lineRule="exact"/>
        <w:ind w:left="0" w:right="0" w:firstLine="576"/>
        <w:jc w:val="left"/>
      </w:pPr>
      <w:r>
        <w:rPr/>
        <w:t xml:space="preserve">(9) A person may petition to restore the right to possess a firearm as provided in RCW 9.41.041.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2018 c 201 s 8005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w:t>
      </w:r>
      <w:r>
        <w:rPr>
          <w:u w:val="single"/>
        </w:rPr>
        <w:t xml:space="preserve">or 71.34</w:t>
      </w:r>
      <w:r>
        <w:rPr/>
        <w:t xml:space="preserve">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w:t>
      </w:r>
      <w:r>
        <w:rPr>
          <w:u w:val="single"/>
        </w:rPr>
        <w:t xml:space="preserve">for the mental health service agency, including a county prosecutor or assistant attorney general who represents the mental health service agency for the purpose of involuntary commitment proceedings,</w:t>
      </w:r>
      <w:r>
        <w:rPr/>
        <w:t xml:space="preserve"> may release </w:t>
      </w:r>
      <w:r>
        <w:t>((</w:t>
      </w:r>
      <w:r>
        <w:rPr>
          <w:strike/>
        </w:rPr>
        <w:t xml:space="preserve">such</w:t>
      </w:r>
      <w:r>
        <w:t>))</w:t>
      </w:r>
      <w:r>
        <w:rPr/>
        <w:t xml:space="preserve"> </w:t>
      </w:r>
      <w:r>
        <w:rPr>
          <w:u w:val="single"/>
        </w:rPr>
        <w:t xml:space="preserve">this</w:t>
      </w:r>
      <w:r>
        <w:rPr/>
        <w:t xml:space="preserve"> information </w:t>
      </w:r>
      <w:r>
        <w:t>((</w:t>
      </w:r>
      <w:r>
        <w:rPr>
          <w:strike/>
        </w:rPr>
        <w:t xml:space="preserve">to the persons authorized under subsection (2) of this section</w:t>
      </w:r>
      <w:r>
        <w:t>))</w:t>
      </w:r>
      <w:r>
        <w:rPr/>
        <w:t xml:space="preserve"> on behalf of the mental health service agency</w:t>
      </w:r>
      <w:r>
        <w:t>((</w:t>
      </w:r>
      <w:r>
        <w:rPr>
          <w:strike/>
        </w:rPr>
        <w:t xml:space="preserve">, so long as nothing</w:t>
      </w:r>
      <w:r>
        <w:t>))</w:t>
      </w:r>
      <w:r>
        <w:rPr>
          <w:u w:val="single"/>
        </w:rPr>
        <w:t xml:space="preserve">.</w:t>
      </w:r>
    </w:p>
    <w:p>
      <w:pPr>
        <w:spacing w:before="0" w:after="0" w:line="408" w:lineRule="exact"/>
        <w:ind w:left="0" w:right="0" w:firstLine="576"/>
        <w:jc w:val="left"/>
      </w:pPr>
      <w:r>
        <w:rPr>
          <w:u w:val="single"/>
        </w:rPr>
        <w:t xml:space="preserve">(c) Nothing</w:t>
      </w:r>
      <w:r>
        <w:rPr/>
        <w:t xml:space="preserve">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w:t>
      </w:r>
      <w:r>
        <w:rPr>
          <w:u w:val="single"/>
        </w:rPr>
        <w:t xml:space="preserve">city or county prosecuting attorneys,</w:t>
      </w:r>
      <w:r>
        <w:rPr/>
        <w:t xml:space="preserve"> personnel of a county or city jail, designated mental health professionals or designated crisis responders, as appropriate,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 </w:t>
      </w:r>
      <w:r>
        <w:rPr>
          <w:u w:val="single"/>
        </w:rPr>
        <w:t xml:space="preserve">and</w:t>
      </w:r>
    </w:p>
    <w:p>
      <w:pPr>
        <w:spacing w:before="0" w:after="0" w:line="408" w:lineRule="exact"/>
        <w:ind w:left="0" w:right="0" w:firstLine="576"/>
        <w:jc w:val="left"/>
      </w:pPr>
      <w:r>
        <w:rPr>
          <w:u w:val="single"/>
        </w:rPr>
        <w:t xml:space="preserve">(vi) Assessing the need for an extreme risk protection order under chapter 7.105 RCW;</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w:t>
      </w:r>
      <w:r>
        <w:rPr>
          <w:u w:val="single"/>
        </w:rPr>
        <w:t xml:space="preserve">or 71.34</w:t>
      </w:r>
      <w:r>
        <w:rPr/>
        <w:t xml:space="preserve"> RCW</w:t>
      </w:r>
      <w:r>
        <w:rPr>
          <w:u w:val="single"/>
        </w:rPr>
        <w:t xml:space="preserve">, or which is associated with a recent detention or order of commitment under chapter 71.05 or 71.34 RCW or an order of commitment or dismissal of charges under chapter 10.77 RCW</w:t>
      </w:r>
      <w:r>
        <w:rPr/>
        <w:t xml:space="preserve">;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w:t>
      </w:r>
      <w:r>
        <w:rPr>
          <w:u w:val="single"/>
        </w:rPr>
        <w:t xml:space="preserve">who is</w:t>
      </w:r>
      <w:r>
        <w:rPr/>
        <w:t xml:space="preserve"> acting in an advisory capacity for a person who receives information under this section </w:t>
      </w:r>
      <w:r>
        <w:rPr>
          <w:u w:val="single"/>
        </w:rPr>
        <w:t xml:space="preserve">or who is carrying out other official duties within the scope of this section</w:t>
      </w:r>
      <w:r>
        <w:rPr/>
        <w:t xml:space="preserve">.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0cf53be89e1b43f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7ab7fa6cdb4459" /><Relationship Type="http://schemas.openxmlformats.org/officeDocument/2006/relationships/footer" Target="/word/footer1.xml" Id="R0cf53be89e1b43f7" /></Relationships>
</file>