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8ae87ac6342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6173</w:t>
      </w:r>
    </w:p>
    <w:p>
      <w:pPr>
        <w:jc w:val="center"/>
        <w:spacing w:before="480" w:after="0" w:line="240"/>
      </w:pPr>
      <w:r>
        <w:t xml:space="preserve">Chapter </w:t>
      </w:r>
      <w:r>
        <w:rPr/>
        <w:t xml:space="preserve">136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AFFORDABLE AND SUPPORTIVE HOUSING SALES AND USE TAXES—INCOME LIMIT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6173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Trudeau, Kuderer, Lovelett, Mullet, Nguyen, Randall, Torres, and C. Wilson</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and supportive housing sales and use taxes and encouraging investments in affordable homeownership unit development; and amending RCW 82.14.540.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2023 c 101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July 28, 2019:</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of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July 28, 2019, until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July 28, 2019:</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July 28, 2019; and</w:t>
      </w:r>
    </w:p>
    <w:p>
      <w:pPr>
        <w:spacing w:before="0" w:after="0" w:line="408" w:lineRule="exact"/>
        <w:ind w:left="0" w:right="0" w:firstLine="576"/>
        <w:jc w:val="left"/>
      </w:pPr>
      <w:r>
        <w:rPr/>
        <w:t xml:space="preserve">(B) Legislation to authorize the maximum capacity of the tax in this section within one year of July 28, 2019.</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w:t>
      </w:r>
    </w:p>
    <w:p>
      <w:pPr>
        <w:spacing w:before="0" w:after="0" w:line="408" w:lineRule="exact"/>
        <w:ind w:left="0" w:right="0" w:firstLine="576"/>
        <w:jc w:val="left"/>
      </w:pPr>
      <w:r>
        <w:rPr/>
        <w:t xml:space="preserve">(ii) Funding the operations and maintenance costs of new units of affordable or supportive housing; or</w:t>
      </w:r>
    </w:p>
    <w:p>
      <w:pPr>
        <w:spacing w:before="0" w:after="0" w:line="408" w:lineRule="exact"/>
        <w:ind w:left="0" w:right="0" w:firstLine="576"/>
        <w:jc w:val="left"/>
      </w:pPr>
      <w:r>
        <w:rPr/>
        <w:t xml:space="preserve">(iii) For providing rental assistance to tenants.</w:t>
      </w:r>
    </w:p>
    <w:p>
      <w:pPr>
        <w:spacing w:before="0" w:after="0" w:line="408" w:lineRule="exact"/>
        <w:ind w:left="0" w:right="0" w:firstLine="576"/>
        <w:jc w:val="left"/>
      </w:pPr>
      <w:r>
        <w:rPr/>
        <w:t xml:space="preserve">(b) Administrative costs of the county or city associated with administering this section may not exceed 10 percent of the annual tax distributed to the jurisdiction under this section.</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w:t>
      </w:r>
      <w:r>
        <w:t>((</w:t>
      </w:r>
      <w:r>
        <w:rPr>
          <w:strike/>
        </w:rPr>
        <w:t xml:space="preserve">sixty</w:t>
      </w:r>
      <w:r>
        <w:t>))</w:t>
      </w:r>
      <w:r>
        <w:rPr/>
        <w:t xml:space="preserve"> </w:t>
      </w:r>
      <w:r>
        <w:rPr>
          <w:u w:val="single"/>
        </w:rPr>
        <w:t xml:space="preserve">60</w:t>
      </w:r>
      <w:r>
        <w:rPr/>
        <w:t xml:space="preserve"> percent of the median income of the county or city imposing the tax</w:t>
      </w:r>
      <w:r>
        <w:rPr>
          <w:u w:val="single"/>
        </w:rPr>
        <w:t xml:space="preserve">, or at or below 80 percent of the median income of the county or city imposing the tax if it is supporting the development of affordable housing intended for owner occupancy, as defined in RCW 84.14.010</w:t>
      </w:r>
      <w:r>
        <w:rPr/>
        <w:t xml:space="preserve">.</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1797c663a97f40f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5a63ce236a4569" /><Relationship Type="http://schemas.openxmlformats.org/officeDocument/2006/relationships/footer" Target="/word/footer1.xml" Id="R1797c663a97f40f6" /></Relationships>
</file>