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2a37aa1904b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5834</w:t>
      </w:r>
    </w:p>
    <w:p>
      <w:pPr>
        <w:jc w:val="center"/>
        <w:spacing w:before="480" w:after="0" w:line="240"/>
      </w:pPr>
      <w:r>
        <w:t xml:space="preserve">Chapter </w:t>
      </w:r>
      <w:r>
        <w:rPr/>
        <w:t xml:space="preserve">26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URBAN GROWTH AREAS—REVISION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5834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Billig, Gildon, Mullet, Padden, and Torres)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growth areas; and amending RCW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2022 c 252 s 4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w:t>
      </w:r>
      <w:r>
        <w:rPr>
          <w:u w:val="single"/>
        </w:rPr>
        <w:t xml:space="preserve">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u w:val="single"/>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u w:val="single"/>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u w:val="single"/>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u w:val="single"/>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u w:val="single"/>
        </w:rPr>
        <w:t xml:space="preserve">(e) The areas added to the urban growth areas are suitable for urban growth;</w:t>
      </w:r>
    </w:p>
    <w:p>
      <w:pPr>
        <w:spacing w:before="0" w:after="0" w:line="408" w:lineRule="exact"/>
        <w:ind w:left="0" w:right="0" w:firstLine="576"/>
        <w:jc w:val="left"/>
      </w:pPr>
      <w:r>
        <w:rPr>
          <w:u w:val="single"/>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u w:val="single"/>
        </w:rPr>
        <w:t xml:space="preserve">(g) The areas removed from the urban growth area are not characterized by urban growth or urban densities;</w:t>
      </w:r>
    </w:p>
    <w:p>
      <w:pPr>
        <w:spacing w:before="0" w:after="0" w:line="408" w:lineRule="exact"/>
        <w:ind w:left="0" w:right="0" w:firstLine="576"/>
        <w:jc w:val="left"/>
      </w:pPr>
      <w:r>
        <w:rPr>
          <w:u w:val="single"/>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u w:val="single"/>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u w:val="single"/>
        </w:rPr>
        <w:t xml:space="preserve">(j) The revised urban growth area meets all other requirements of this section</w:t>
      </w:r>
      <w:r>
        <w:rPr>
          <w:u w:val="single"/>
        </w:rPr>
        <w:t xml:space="preserve">.</w:t>
      </w:r>
    </w:p>
    <w:p>
      <w:pPr>
        <w:spacing w:before="0" w:after="0" w:line="408" w:lineRule="exact"/>
        <w:ind w:left="0" w:right="0" w:firstLine="576"/>
        <w:jc w:val="left"/>
      </w:pPr>
      <w:r>
        <w:rPr>
          <w:u w:val="single"/>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u w:val="single"/>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u w:val="single"/>
        </w:rPr>
        <w:t xml:space="preserve">(10)</w:t>
      </w:r>
      <w:r>
        <w:rPr/>
        <w:t xml:space="preserve">(a)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w:t>
      </w:r>
      <w:r>
        <w:t>((</w:t>
      </w:r>
      <w:r>
        <w:rPr>
          <w:strike/>
        </w:rPr>
        <w:t xml:space="preserve">(8)</w:t>
      </w:r>
      <w:r>
        <w:t>))</w:t>
      </w:r>
      <w:r>
        <w:rPr/>
        <w:t xml:space="preserve"> </w:t>
      </w:r>
      <w:r>
        <w:rPr>
          <w:u w:val="single"/>
        </w:rPr>
        <w:t xml:space="preserve">(10)</w:t>
      </w:r>
      <w:r>
        <w:rPr/>
        <w:t xml:space="preserve">(a)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w:t>
      </w:r>
      <w:r>
        <w:t>((</w:t>
      </w:r>
      <w:r>
        <w:rPr>
          <w:strike/>
        </w:rPr>
        <w:t xml:space="preserve">(8)</w:t>
      </w:r>
      <w:r>
        <w:t>))</w:t>
      </w:r>
      <w:r>
        <w:rPr/>
        <w:t xml:space="preserve"> </w:t>
      </w:r>
      <w:r>
        <w:rPr>
          <w:u w:val="single"/>
        </w:rPr>
        <w:t xml:space="preserve">(10)</w:t>
      </w:r>
      <w:r>
        <w:rPr/>
        <w:t xml:space="preserve">, "one hundred year floodplain" means the same as "special flood hazard area" as set forth in WAC 173-158-040 as it exists on July 26, 2009.</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6466551454ad407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7c500b96004ea0" /><Relationship Type="http://schemas.openxmlformats.org/officeDocument/2006/relationships/footer" Target="/word/footer1.xml" Id="R6466551454ad407e" /></Relationships>
</file>