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d622ccbf4d4d0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5808</w:t>
      </w:r>
    </w:p>
    <w:p>
      <w:pPr>
        <w:jc w:val="center"/>
        <w:spacing w:before="480" w:after="0" w:line="240"/>
      </w:pPr>
      <w:r>
        <w:t xml:space="preserve">Chapter </w:t>
      </w:r>
      <w:r>
        <w:rPr/>
        <w:t xml:space="preserve">124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PUBLIC SAFETY TELECOMMUNICATORS—INTEREST ARBITRATION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5808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9:55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5808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Van De Wege, Lovick, Conway, Trudeau, Nguyen, Kuderer, Randall, Dhingra, Hunt, Valdez, Keiser, Stanford, Liias, Hasegawa, Shewmake, Mullet, Nobles, and Salomon)</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interest arbitration to certain public safety telecommunicators;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2022 c 71 s 9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subject to RCW 41.58.070,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lieutenant and includes officers, detectives, and sergeants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2019.</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 For the purposes of this chapter, public employer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w:t>
      </w:r>
      <w:r>
        <w:t>((</w:t>
      </w:r>
      <w:r>
        <w:rPr>
          <w:strike/>
        </w:rPr>
        <w:t xml:space="preserve">or</w:t>
      </w:r>
      <w:r>
        <w:t>))</w:t>
      </w:r>
      <w:r>
        <w:rPr/>
        <w:t xml:space="preserve">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r>
        <w:rPr>
          <w:u w:val="single"/>
        </w:rPr>
        <w:t xml:space="preserve">; or (j) public safety telecommunicators, as defined in RCW 38.60.020, employed by a public employer. This subsection (14)(j) does not apply to public safety telecommunicators employed by the Washington state patrol or any other state agency</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31,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4346d78bb9fb403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bbada2ef604e20" /><Relationship Type="http://schemas.openxmlformats.org/officeDocument/2006/relationships/footer" Target="/word/footer1.xml" Id="R4346d78bb9fb4038" /></Relationships>
</file>