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57a3404da64b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5683</w:t>
      </w:r>
    </w:p>
    <w:p>
      <w:pPr>
        <w:jc w:val="center"/>
        <w:spacing w:before="480" w:after="0" w:line="240"/>
      </w:pPr>
      <w:r>
        <w:t xml:space="preserve">Chapter </w:t>
      </w:r>
      <w:r>
        <w:rPr/>
        <w:t xml:space="preserve">127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INDIAN CHILDREN—CHILD-SPECIFIC FOSTER CARE LICENSES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5683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10:36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5683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Kauffman, Hasegawa, Kuderer, Liias, Lovelett, Lovick, Nguyen, Nobles, Pedersen, Saldaña, Schoesler, Stanford, Valdez, and C. Wilson</w:t>
      </w:r>
    </w:p>
    <w:p/>
    <w:p>
      <w:r>
        <w:rPr>
          <w:t xml:space="preserve">Read first time 02/02/23.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child-specific foster care licenses for placement of an Indian child in the custody of a federally recognized tribe or the tribe's child placing agency; and amending RCW 74.15.125.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125</w:t>
      </w:r>
      <w:r>
        <w:rPr/>
        <w:t xml:space="preserve"> and 2021 c 304 s 30 are each amended to read as follows:</w:t>
      </w:r>
    </w:p>
    <w:p>
      <w:pPr>
        <w:spacing w:before="0" w:after="0" w:line="408" w:lineRule="exact"/>
        <w:ind w:left="0" w:right="0" w:firstLine="576"/>
        <w:jc w:val="left"/>
      </w:pPr>
      <w:r>
        <w:rPr/>
        <w:t xml:space="preserve">(1) The department may issue a probationary license to a licensee who has had a license but is temporarily unable to comply with a rule or has been the subject of multiple complaints or concerns about noncompliance if:</w:t>
      </w:r>
    </w:p>
    <w:p>
      <w:pPr>
        <w:spacing w:before="0" w:after="0" w:line="408" w:lineRule="exact"/>
        <w:ind w:left="0" w:right="0" w:firstLine="576"/>
        <w:jc w:val="left"/>
      </w:pPr>
      <w:r>
        <w:rPr/>
        <w:t xml:space="preserve">(a) The noncompliance does not present an immediate threat to the health and well-being of the children but would be likely to do so if allowed to continue; and</w:t>
      </w:r>
    </w:p>
    <w:p>
      <w:pPr>
        <w:spacing w:before="0" w:after="0" w:line="408" w:lineRule="exact"/>
        <w:ind w:left="0" w:right="0" w:firstLine="576"/>
        <w:jc w:val="left"/>
      </w:pPr>
      <w:r>
        <w:rPr/>
        <w:t xml:space="preserve">(b) The licensee has a plan approved by the department to correct the area of noncompliance within the probationary period.</w:t>
      </w:r>
    </w:p>
    <w:p>
      <w:pPr>
        <w:spacing w:before="0" w:after="0" w:line="408" w:lineRule="exact"/>
        <w:ind w:left="0" w:right="0" w:firstLine="576"/>
        <w:jc w:val="left"/>
      </w:pPr>
      <w:r>
        <w:rPr/>
        <w:t xml:space="preserve">(2) A probationary license may be issued for up to six months, and at the discretion of the department it may be extended for an additional six months. The department shall immediately terminate the probationary license, if at any time the noncompliance for which the probationary license was issued presents an immediate threat to the health or well-being of the children.</w:t>
      </w:r>
    </w:p>
    <w:p>
      <w:pPr>
        <w:spacing w:before="0" w:after="0" w:line="408" w:lineRule="exact"/>
        <w:ind w:left="0" w:right="0" w:firstLine="576"/>
        <w:jc w:val="left"/>
      </w:pPr>
      <w:r>
        <w:rPr/>
        <w:t xml:space="preserve">(3) The department may, at any time, issue a probationary license for due cause that states the conditions of probation.</w:t>
      </w:r>
    </w:p>
    <w:p>
      <w:pPr>
        <w:spacing w:before="0" w:after="0" w:line="408" w:lineRule="exact"/>
        <w:ind w:left="0" w:right="0" w:firstLine="576"/>
        <w:jc w:val="left"/>
      </w:pPr>
      <w:r>
        <w:rPr/>
        <w:t xml:space="preserve">(4) An existing license is invalidated when a probationary license is issued.</w:t>
      </w:r>
    </w:p>
    <w:p>
      <w:pPr>
        <w:spacing w:before="0" w:after="0" w:line="408" w:lineRule="exact"/>
        <w:ind w:left="0" w:right="0" w:firstLine="576"/>
        <w:jc w:val="left"/>
      </w:pPr>
      <w:r>
        <w:rPr/>
        <w:t xml:space="preserve">(5) At the expiration of the probationary license, the department shall reinstate the original license for the remainder of its term, issue a new license, or revoke the original license.</w:t>
      </w:r>
    </w:p>
    <w:p>
      <w:pPr>
        <w:spacing w:before="0" w:after="0" w:line="408" w:lineRule="exact"/>
        <w:ind w:left="0" w:right="0" w:firstLine="576"/>
        <w:jc w:val="left"/>
      </w:pPr>
      <w:r>
        <w:rPr/>
        <w:t xml:space="preserve">(6) A right to an adjudicative proceeding shall not accrue to the licensee whose license has been placed on probationary status unless the licensee does not agree with the placement on probationary status and the department then suspends, revokes, or modifies the license.</w:t>
      </w:r>
    </w:p>
    <w:p>
      <w:pPr>
        <w:spacing w:before="0" w:after="0" w:line="408" w:lineRule="exact"/>
        <w:ind w:left="0" w:right="0" w:firstLine="576"/>
        <w:jc w:val="left"/>
      </w:pPr>
      <w:r>
        <w:rPr/>
        <w:t xml:space="preserve">(7)(a) The department may issue a child-specific license to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w:t>
      </w:r>
      <w:r>
        <w:rPr/>
        <w:t xml:space="preserve"> relative, as defined in RCW 13.36.020, or a suitable person, as defined in RCW 13.36.020, who opts to become licensed for placement of a specific child and that child's siblings or relatives in the department's care, custody, and control</w:t>
      </w:r>
      <w:r>
        <w:rPr>
          <w:u w:val="single"/>
        </w:rPr>
        <w:t xml:space="preserve">; or</w:t>
      </w:r>
    </w:p>
    <w:p>
      <w:pPr>
        <w:spacing w:before="0" w:after="0" w:line="408" w:lineRule="exact"/>
        <w:ind w:left="0" w:right="0" w:firstLine="576"/>
        <w:jc w:val="left"/>
      </w:pPr>
      <w:r>
        <w:rPr>
          <w:u w:val="single"/>
        </w:rPr>
        <w:t xml:space="preserve">(ii) An Indian child's family or extended family member as defined in RCW 13.38.040 who opts to become licensed for placement of a specific Indian child and that child's siblings or relatives in the custody of an Indian tribe as defined in RCW 43.376.010 or the tribe's child placing agency</w:t>
      </w:r>
      <w:r>
        <w:rPr/>
        <w:t xml:space="preserve">.</w:t>
      </w:r>
    </w:p>
    <w:p>
      <w:pPr>
        <w:spacing w:before="0" w:after="0" w:line="408" w:lineRule="exact"/>
        <w:ind w:left="0" w:right="0" w:firstLine="576"/>
        <w:jc w:val="left"/>
      </w:pPr>
      <w:r>
        <w:rPr/>
        <w:t xml:space="preserve">(b) Such individuals must meet all minimum licensing requirements for foster family homes established pursuant to RCW 74.15.030 and are subject to child-specific license criteria, which the department is authorized to establish by rule.</w:t>
      </w:r>
    </w:p>
    <w:p>
      <w:pPr>
        <w:spacing w:before="0" w:after="0" w:line="408" w:lineRule="exact"/>
        <w:ind w:left="0" w:right="0" w:firstLine="576"/>
        <w:jc w:val="left"/>
      </w:pPr>
      <w:r>
        <w:rPr/>
        <w:t xml:space="preserve">(c) For purposes of federal funding, a child-specific license is considered a full license with all of the rights and responsibilities of a foster family home license, except that at the discretion of the department the licensee may only receive placement of specific children pursuant to (a) of this subsection.</w:t>
      </w:r>
    </w:p>
    <w:p>
      <w:pPr>
        <w:spacing w:before="0" w:after="0" w:line="408" w:lineRule="exact"/>
        <w:ind w:left="0" w:right="0" w:firstLine="576"/>
        <w:jc w:val="left"/>
      </w:pPr>
      <w:r>
        <w:rPr/>
        <w:t xml:space="preserve">(d) A child-specific license does not confer upon the licensee a right to placement of a particular child, nor does it confer party status in any proceeding under chapter 13.34 RCW.</w:t>
      </w:r>
    </w:p>
    <w:p>
      <w:pPr>
        <w:spacing w:before="0" w:after="0" w:line="408" w:lineRule="exact"/>
        <w:ind w:left="0" w:right="0" w:firstLine="576"/>
        <w:jc w:val="left"/>
      </w:pPr>
      <w:r>
        <w:rPr/>
        <w:t xml:space="preserve">(e) The department shall seek input from the following stakeholders during the development and adoption of rules necessary to implement this section: Representatives from the kinship care oversight committee, an organization that represents current and former foster youth, an organization that represents child placing agencies, and a statewide advisory group of foster youth and alumni of foster care. The department shall seek tribal input as outlined in the department's government-to-government policy, per RCW 43.376.020.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06c0161b2733416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d4904eb32348f4" /><Relationship Type="http://schemas.openxmlformats.org/officeDocument/2006/relationships/footer" Target="/word/footer1.xml" Id="R06c0161b2733416e" /></Relationships>
</file>