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491313ae248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5528</w:t>
      </w:r>
    </w:p>
    <w:p>
      <w:pPr>
        <w:jc w:val="center"/>
        <w:spacing w:before="480" w:after="0" w:line="240"/>
      </w:pPr>
      <w:r>
        <w:t xml:space="preserve">Chapter </w:t>
      </w:r>
      <w:r>
        <w:rPr/>
        <w:t xml:space="preserve">373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PRIVATE CONSTRUCTION PROJECTS—RETAINAGE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 Stanford)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requirements for private construction projects; and adding a new chapter to Title 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owner, contractor, or subcontractor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or subcontractor shall pay interest at the rate of one percent per month on the final payment due the contractor or subcontractor. The interest shall commence 30 days after the contractor or subcontractor has completed and the owner has accepted the work under the contract for construction for which the final payment is due. The interest shall run until the date when final payment is tendered to the contractor or subcontractor.</w:t>
      </w:r>
    </w:p>
    <w:p>
      <w:pPr>
        <w:spacing w:before="0" w:after="0" w:line="408" w:lineRule="exact"/>
        <w:ind w:left="0" w:right="0" w:firstLine="576"/>
        <w:jc w:val="left"/>
      </w:pPr>
      <w:r>
        <w:rPr/>
        <w:t xml:space="preserve">(3) When the contractor or subcontractor considers the work that the contractor or subcontractor is contracted to perform to be complete, the contractor or subcontractor shall notify the party to whom the contractor or subcontractor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or subcontractor of work yet to be performed under the contract or subcontract. If the party does not accept the work or does not notify the contractor or subcontractor of work yet to be performed within the time allowed, the interest required under this subsection shall commence 30 days after the end of the 15-day period. A contractor may provide notice under this subsection to an owner or upper-tier contractor for release of retainage due to a subcontractor whose work is complete. If an owner or upper-tier contractor does not accept the subcontractor's work or does not notify the contractor of work yet to be performed by the subcontractor within 15 days after receiving the notice, the interest required under this section shall commence 30 days after the end of the 15-day period. A contractor's obligation to pay interest to a subcontractor under this section does not begin until the contractor has received payment for the subcontractor's retainage provided that the contractor has submitted the subcontractor's retainage request to the owner or upper-tier contractor within 30 days after receipt from the subcontractor.</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lieu of retainage, a subcontractor or contractor may tender, and a contractor or owner must accept, a retainage bond in an amount not to exceed five percent of the moneys earned by the subcontractor or contractor.</w:t>
      </w:r>
    </w:p>
    <w:p>
      <w:pPr>
        <w:spacing w:before="0" w:after="0" w:line="408" w:lineRule="exact"/>
        <w:ind w:left="0" w:right="0" w:firstLine="576"/>
        <w:jc w:val="left"/>
      </w:pPr>
      <w:r>
        <w:rPr/>
        <w:t xml:space="preserve">(2) A subcontractor or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or owner may require that the authorized surety have a minimum A.M. Best financial strength rating so long as that minimum rating does not exceed A-. The contractor may withhold the subcontractor's portion of the bond premium, to the extent the contractor provides a retainage bond to obtain a release of the subcontractor's retainage.</w:t>
      </w:r>
    </w:p>
    <w:p>
      <w:pPr>
        <w:spacing w:before="0" w:after="0" w:line="408" w:lineRule="exact"/>
        <w:ind w:left="0" w:right="0" w:firstLine="576"/>
        <w:jc w:val="left"/>
      </w:pPr>
      <w:r>
        <w:rPr/>
        <w:t xml:space="preserve">(4) The contractor or owner must accept a bond meeting the requirements of this section. The subcontractor or contractor's bond and any proceeds therefrom are subject to all claims and liens and in the same manner and priority as set forth for retained percentages in the contract and other applicable provisions.</w:t>
      </w:r>
    </w:p>
    <w:p>
      <w:pPr>
        <w:spacing w:before="0" w:after="0" w:line="408" w:lineRule="exact"/>
        <w:ind w:left="0" w:right="0" w:firstLine="576"/>
        <w:jc w:val="left"/>
      </w:pPr>
      <w:r>
        <w:rPr/>
        <w:t xml:space="preserve">(5) Whenever an owner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(6)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only apply to private construction projects and do not apply to public improvement contracts, as defined in RCW 60.28.011.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aea20b2ad8144cd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82c6f0f9654a86" /><Relationship Type="http://schemas.openxmlformats.org/officeDocument/2006/relationships/footer" Target="/word/footer1.xml" Id="Raea20b2ad8144cdf" /></Relationships>
</file>