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f0186ac3c140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5412</w:t>
      </w:r>
    </w:p>
    <w:p>
      <w:pPr>
        <w:jc w:val="center"/>
        <w:spacing w:before="480" w:after="0" w:line="240"/>
      </w:pPr>
      <w:r>
        <w:t xml:space="preserve">Chapter </w:t>
      </w:r>
      <w:r>
        <w:rPr/>
        <w:t xml:space="preserve">368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STATE ENVIRONMENTAL POLICY ACT—LOCAL LAND USE—CATEGORICAL EXEMPTIONS—HOUSING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41</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5412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11:10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5412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Salomon, Liias, Kuderer, Lovelett, Mullet, and Pedersen)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local governments' land use permitting workloads, by ensuring objective and timely design review for housing and other land use proposals within cities and counties and allowing proposed housing within urban growth boundaries to rely on environmental reviews completed at the comprehensive planning level; and amending RCW 43.21C.229.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w:t>
      </w:r>
      <w:r>
        <w:rPr/>
        <w:t xml:space="preserve"> to accommodate infill </w:t>
      </w:r>
      <w:r>
        <w:rPr>
          <w:u w:val="single"/>
        </w:rPr>
        <w:t xml:space="preserve">and housing</w:t>
      </w:r>
      <w:r>
        <w:rPr/>
        <w:t xml:space="preserve"> development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is authorized by this section to establish categorical exemptions from the requirements of this chapter.</w:t>
      </w:r>
      <w:r>
        <w:t>((</w:t>
      </w:r>
      <w:r>
        <w:rPr>
          <w:strike/>
        </w:rPr>
        <w:t xml:space="preserve"> An exemption adopted under this section applies even if it differs from the categorical exemptions adopted by rule of the department under RCW 43.21C.110(1)(a).</w:t>
      </w:r>
      <w:r>
        <w:t>))</w:t>
      </w:r>
      <w:r>
        <w:rPr/>
        <w:t xml:space="preserve"> An exemption may be adopted by a city or county under this </w:t>
      </w:r>
      <w:r>
        <w:rPr>
          <w:u w:val="single"/>
        </w:rPr>
        <w:t xml:space="preserve">sub</w:t>
      </w:r>
      <w:r>
        <w:rPr/>
        <w:t xml:space="preserve">section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section.</w:t>
      </w:r>
    </w:p>
    <w:p>
      <w:pPr>
        <w:spacing w:before="0" w:after="0" w:line="408" w:lineRule="exact"/>
        <w:ind w:left="0" w:right="0" w:firstLine="576"/>
        <w:jc w:val="left"/>
      </w:pPr>
      <w:r>
        <w:t>((</w:t>
      </w:r>
      <w:r>
        <w:rPr>
          <w:strike/>
        </w:rPr>
        <w:t xml:space="preserve">(2) Any</w:t>
      </w:r>
      <w:r>
        <w:t>))</w:t>
      </w:r>
      <w:r>
        <w:rPr/>
        <w:t xml:space="preserve"> </w:t>
      </w:r>
      <w:r>
        <w:rPr>
          <w:u w:val="single"/>
        </w:rPr>
        <w:t xml:space="preserve">(3) All project actions that propose to develop one or more residential housing units within the incorporated areas in an urban growth area designated pursuant to RCW 36.70A.110 or middle housing within the unincorporated areas in an urban growth area designated pursuant to RCW 36.70A.110, and that meet the criteria identified in (a) and (b) of this subsection, are categorically exempt from the requirements of this chapter. For purposes of this section, "middle housing" has the same meaning as in RCW 36.70A.030 as amended by chapter . . . (Engrossed Second Substitute House Bill No. 1110), Laws of 2023. Jurisdictions shall satisfy the following criteria prior to the adoption of the categorical exemption under this subsection (3):</w:t>
      </w:r>
    </w:p>
    <w:p>
      <w:pPr>
        <w:spacing w:before="0" w:after="0" w:line="408" w:lineRule="exact"/>
        <w:ind w:left="0" w:right="0" w:firstLine="576"/>
        <w:jc w:val="left"/>
      </w:pPr>
      <w:r>
        <w:rPr>
          <w:u w:val="single"/>
        </w:rPr>
        <w:t xml:space="preserve">(a) The city or county shall find that the proposed development is consistent with all development regulations implementing an applicable comprehensive plan adopted according to chapter 36.70A RCW by the jurisdiction in which the development is proposed, with the exception of any development regulation that is inconsistent with applicable provisions of chapter 36.70A RCW; and</w:t>
      </w:r>
    </w:p>
    <w:p>
      <w:pPr>
        <w:spacing w:before="0" w:after="0" w:line="408" w:lineRule="exact"/>
        <w:ind w:left="0" w:right="0" w:firstLine="576"/>
        <w:jc w:val="left"/>
      </w:pPr>
      <w:r>
        <w:rPr>
          <w:u w:val="single"/>
        </w:rPr>
        <w:t xml:space="preserve">(b) The city or county has prepared environmental analysis that considers the proposed use or density and intensity of use in the area proposed for an exemption under this section and analyzes multimodal transportation impacts, including impacts to neighboring jurisdictions, transit facilities, and the state transportation system.</w:t>
      </w:r>
    </w:p>
    <w:p>
      <w:pPr>
        <w:spacing w:before="0" w:after="0" w:line="408" w:lineRule="exact"/>
        <w:ind w:left="0" w:right="0" w:firstLine="576"/>
        <w:jc w:val="left"/>
      </w:pPr>
      <w:r>
        <w:rPr>
          <w:u w:val="single"/>
        </w:rPr>
        <w:t xml:space="preserve">(i) Such environmental analysis shall include documentation that the requirements for environmental analysis, protection, and mitigation for impacts to elements of the environment have been adequately addressed for the development exempted. The requirements may be addressed in locally adopted comprehensive plans, subarea plans, adopted development regulations, other applicable local ordinances and regulations, or applicable state and federal regulations. The city or county must document its consultation with the department of transportation on impacts to state-owned transportation facilities including consideration of whether mitigation is necessary for impacts to transportation facilities.</w:t>
      </w:r>
    </w:p>
    <w:p>
      <w:pPr>
        <w:spacing w:before="0" w:after="0" w:line="408" w:lineRule="exact"/>
        <w:ind w:left="0" w:right="0" w:firstLine="576"/>
        <w:jc w:val="left"/>
      </w:pPr>
      <w:r>
        <w:rPr>
          <w:u w:val="single"/>
        </w:rPr>
        <w:t xml:space="preserve">(ii) Before finalizing the environmental analysis pursuant to (b)(i) of this subsection (3), the city or county shall provide a minimum of 60 days' notice to affected tribes, relevant state agencies, other jurisdictions that may be impacted, and the public. If a city or county identifies that mitigation measures are necessary to address specific probable adverse impacts, the city or county must address those impacts by requiring mitigation identified in the environmental analysis pursuant to this subsection (3)(b) through locally adopted comprehensive plans, subarea plans, development regulations, or other applicable local ordinances and regulations. Mitigation measures shall be detailed in an associated environmental determination.</w:t>
      </w:r>
    </w:p>
    <w:p>
      <w:pPr>
        <w:spacing w:before="0" w:after="0" w:line="408" w:lineRule="exact"/>
        <w:ind w:left="0" w:right="0" w:firstLine="576"/>
        <w:jc w:val="left"/>
      </w:pPr>
      <w:r>
        <w:rPr>
          <w:u w:val="single"/>
        </w:rPr>
        <w:t xml:space="preserve">(iii) The categorical exemption is effective 30 days following action by a city or county pursuant to (b)(ii) of this subsection (3).</w:t>
      </w:r>
    </w:p>
    <w:p>
      <w:pPr>
        <w:spacing w:before="0" w:after="0" w:line="408" w:lineRule="exact"/>
        <w:ind w:left="0" w:right="0" w:firstLine="576"/>
        <w:jc w:val="left"/>
      </w:pPr>
      <w:r>
        <w:rPr>
          <w:u w:val="single"/>
        </w:rPr>
        <w:t xml:space="preserve">(4) Until September 30, 2025, all project actions that propose to develop one or more residential housing or middle housing units within a city west of the crest of the Cascade mountains with a population of 700,000 or more are categorically exempt from the requirements of this chapter. After September 30, 2025, project actions that propose to develop one or more residential housing or middle housing units within the city may utilize the categorical exemption in subsection (3) of this section.</w:t>
      </w:r>
    </w:p>
    <w:p>
      <w:pPr>
        <w:spacing w:before="0" w:after="0" w:line="408" w:lineRule="exact"/>
        <w:ind w:left="0" w:right="0" w:firstLine="576"/>
        <w:jc w:val="left"/>
      </w:pPr>
      <w:r>
        <w:rPr>
          <w:u w:val="single"/>
        </w:rPr>
        <w:t xml:space="preserve">(5) Any categorical exemption adopted by a city or county under this section applies even if it differs from the categorical exemptions adopted by rule of the department under RCW 43.21C.110(1)(a). Nothing in this section shall invalidate categorical exemptions or environmental review procedures adopted by a city or county under a planned action pursuant to RCW 43.21C.440. However, any</w:t>
      </w:r>
      <w:r>
        <w:rPr/>
        <w:t xml:space="preserve"> categorical exemption adopted by a city or county under this section shall be subject to the rules of the department adopted according to RCW 43.21C.110(1)(a) that provide exceptions to the use of categorical exemptions adopted by the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22,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4f52fb378e14e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38cf1064004e95" /><Relationship Type="http://schemas.openxmlformats.org/officeDocument/2006/relationships/footer" Target="/word/footer1.xml" Id="Rc4f52fb378e14e6a" /></Relationships>
</file>