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fe0aea0da1148c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5376</w:t>
      </w:r>
    </w:p>
    <w:p>
      <w:pPr>
        <w:jc w:val="center"/>
        <w:spacing w:before="480" w:after="0" w:line="240"/>
      </w:pPr>
      <w:r>
        <w:t xml:space="preserve">Chapter </w:t>
      </w:r>
      <w:r>
        <w:rPr/>
        <w:t xml:space="preserve">243</w:t>
      </w:r>
      <w:r>
        <w:t xml:space="preserve">, Laws of 2024</w:t>
      </w:r>
    </w:p>
    <w:p>
      <w:pPr>
        <w:jc w:val="center"/>
        <w:spacing w:before="360" w:after="0" w:line="240"/>
      </w:pPr>
      <w:r>
        <w:t>68th Legislature</w:t>
      </w:r>
    </w:p>
    <w:p>
      <w:pPr>
        <w:jc w:val="center"/>
      </w:pPr>
      <w:r>
        <w:t>2024 Regular Session</w:t>
      </w:r>
    </w:p>
    <w:p>
      <w:pPr>
        <w:jc w:val="center"/>
        <w:spacing w:before="480" w:after="0" w:line="240"/>
      </w:pPr>
      <w:r>
        <w:rPr/>
        <w:t xml:space="preserve">SALE OF CANNABIS WASTE</w:t>
      </w:r>
    </w:p>
    <w:p>
      <w:pPr>
        <w:spacing w:before="720" w:after="240" w:line="240" w:lineRule="exact"/>
        <w:ind w:left="0" w:right="0" w:firstLine="0"/>
        <w:jc w:val="center"/>
      </w:pPr>
      <w:r>
        <w:t xml:space="preserve">EFFECTIVE DATE: </w:t>
      </w:r>
      <w:r>
        <w:rPr/>
        <w:t xml:space="preserve">June 6, 2024</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Mar>
              <w:left w:w="120"/>
            </w:tcMar>
            <w:tcMar>
              <w:right w:w="120"/>
            </w:tcMar>
            <w:tcMar>
              <w:top w:w="40"/>
            </w:tcMar>
            <w:tcMar>
              <w:bottom w:w="40"/>
            </w:tcMar>
          </w:tcPr>
          <w:p>
            <w:r>
              <w:t xml:space="preserve">Passed by the </w:t>
              <w:t xml:space="preserve">Senate </w:t>
            </w:r>
            <w:r>
              <w:rPr>
                <w:rFonts w:ascii="Times New Roman" w:hAnsi="Times New Roman"/>
                <w:sz w:val="20"/>
              </w:rPr>
              <w:t xml:space="preserve">March 4, 2024</w:t>
            </w:r>
          </w:p>
          <w:p>
            <w:pPr>
              <w:ind w:left="0" w:right="0" w:firstLine="360"/>
            </w:pPr>
            <w:r>
              <w:t xml:space="preserve">Yeas </w:t>
              <w:t xml:space="preserve">48</w:t>
            </w:r>
            <w:r>
              <w:t xml:space="preserve">  Nays </w:t>
              <w:t xml:space="preserve">0</w:t>
            </w:r>
          </w:p>
          <w:p>
            <w:pPr>
              <w:jc w:val="center"/>
              <w:spacing w:before="480" w:after="0" w:line="240"/>
            </w:pPr>
            <w:r>
              <w:t xml:space="preserve">DENNY HECK</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February 29, 2024</w:t>
            </w:r>
          </w:p>
          <w:p>
            <w:pPr>
              <w:ind w:left="0" w:right="0" w:firstLine="360"/>
            </w:pPr>
            <w:r>
              <w:t xml:space="preserve">Yeas </w:t>
              <w:t xml:space="preserve">94</w:t>
            </w:r>
            <w:r>
              <w:t xml:space="preserve">  Nays </w:t>
              <w:t xml:space="preserve">2</w:t>
            </w:r>
          </w:p>
          <w:p>
            <w:pPr>
              <w:jc w:val="center"/>
              <w:spacing w:before="480" w:after="0" w:line="240"/>
            </w:pPr>
            <w:r>
              <w:t xml:space="preserve">LAURIE JINKINS</w:t>
            </w:r>
          </w:p>
          <w:p>
            <w:pPr>
              <w:b/>
              <w:pBdr>
                <w:top w:val="single" w:color="auto" w:sz="4" w:space="1"/>
              </w:pBdr>
            </w:pPr>
            <w:r>
              <w:rPr>
                <w:b/>
              </w:rPr>
              <w:t>Speaker of the House of Representatives</w:t>
            </w:r>
          </w:p>
        </w:tc>
        <w:tc>
          <w:tcPr>
            <w:tcW w:w="4560" w:type="dxa"/>
            <w:vAlign w:val="top"/>
            <w:tcMar>
              <w:left w:w="120"/>
            </w:tcMar>
            <w:tcMar>
              <w:right w:w="120"/>
            </w:tcMar>
            <w:tcMar>
              <w:top w:w="40"/>
            </w:tcMar>
            <w:tcMar>
              <w:bottom w:w="40"/>
            </w:tcMar>
          </w:tcPr>
          <w:p>
            <w:pPr>
              <w:jc w:val="center"/>
              <w:spacing w:before="0" w:after="240" w:line="240"/>
            </w:pPr>
            <w:r>
              <w:t>CERTIFICATE</w:t>
            </w:r>
          </w:p>
          <w:p>
            <w:pPr>
              <w:spacing w:before="0" w:after="0" w:line="240" w:lineRule="exact"/>
              <w:ind w:left="0" w:right="0" w:firstLine="180"/>
              <w:jc w:val="left"/>
            </w:pPr>
            <w:r>
              <w:rPr>
                <w:rFonts w:ascii="Times New Roman" w:hAnsi="Times New Roman"/>
                <w:sz w:val="20"/>
              </w:rPr>
              <w:t xml:space="preserve">I, Sarah Bannister, Secretary of the Senate of the State of Washington, do hereby certify that the attached is </w:t>
            </w:r>
            <w:r>
              <w:rPr>
                <w:rFonts w:ascii="Times New Roman" w:hAnsi="Times New Roman"/>
                <w:b/>
                <w:sz w:val="20"/>
              </w:rPr>
              <w:t xml:space="preserve">SUBSTITUTE SENATE BILL 5376</w:t>
            </w:r>
            <w:r>
              <w:rPr>
                <w:rFonts w:ascii="Times New Roman" w:hAnsi="Times New Roman"/>
                <w:sz w:val="20"/>
              </w:rPr>
              <w:t xml:space="preserve"> as passed by the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SARAH BANNISTER</w:t>
            </w:r>
          </w:p>
          <w:p>
            <w:pPr>
              <w:jc w:val="right"/>
              <w:spacing w:before="0" w:after="0" w:line="240"/>
            </w:pPr>
            <w:r>
              <w:rPr>
                <w:rFonts w:ascii="Times New Roman" w:hAnsi="Times New Roman"/>
                <w:sz w:val="20"/>
              </w:rPr>
              <w:t xml:space="preserve">Secretary</w:t>
            </w:r>
          </w:p>
        </w:tc>
      </w:tr>
      <w:tr>
        <w:tc>
          <w:tcPr>
            <w:tcW w:w="5040" w:type="dxa"/>
            <w:vAlign w:val="top"/>
            <w:tcMar>
              <w:left w:w="120"/>
            </w:tcMar>
            <w:tcMar>
              <w:right w:w="120"/>
            </w:tcMar>
            <w:tcMar>
              <w:top w:w="40"/>
            </w:tcMar>
            <w:tcMar>
              <w:bottom w:w="40"/>
            </w:tcMar>
          </w:tcPr>
          <w:p>
            <w:pPr>
              <w:spacing w:before="0" w:after="0" w:line="240"/>
            </w:pPr>
            <w:r>
              <w:t xml:space="preserve">Approved </w:t>
            </w:r>
            <w:r>
              <w:rPr>
                <w:rFonts w:ascii="Times New Roman" w:hAnsi="Times New Roman"/>
                <w:sz w:val="20"/>
              </w:rPr>
              <w:t xml:space="preserve">March 25, 2024 2:07 PM</w:t>
            </w:r>
          </w:p>
        </w:tc>
        <w:tc>
          <w:tcPr>
            <w:tcW w:w="4560" w:type="dxa"/>
            <w:vAlign w:val="top"/>
            <w:tcMar>
              <w:left w:w="120"/>
            </w:tcMar>
            <w:tcMar>
              <w:right w:w="120"/>
            </w:tcMar>
            <w:tcMar>
              <w:top w:w="40"/>
            </w:tcMar>
            <w:tcMar>
              <w:bottom w:w="40"/>
            </w:tcMar>
          </w:tcPr>
          <w:p>
            <w:pPr>
              <w:jc w:val="center"/>
            </w:pPr>
            <w:r>
              <w:rPr>
                <w:t xml:space="preserve">FILED</w:t>
              </w:rPr>
            </w:r>
          </w:p>
          <w:p>
            <w:pPr>
              <w:jc w:val="center"/>
            </w:pPr>
            <w:r>
              <w:rPr>
                <w:rFonts w:ascii="Times New Roman" w:hAnsi="Times New Roman"/>
                <w:sz w:val="20"/>
              </w:rPr>
              <w:t xml:space="preserve">March 26, 2024</w:t>
            </w:r>
          </w:p>
        </w:tc>
      </w:tr>
      <w:tr>
        <w:tc>
          <w:tcPr>
            <w:tcW w:w="5040" w:type="dxa"/>
            <w:vAlign w:val="top"/>
            <w:tcMar>
              <w:left w:w="120"/>
            </w:tcMar>
            <w:tcMar>
              <w:right w:w="120"/>
            </w:tcMar>
            <w:tcMar>
              <w:top w:w="40"/>
            </w:tcMar>
            <w:tcMar>
              <w:bottom w:w="40"/>
            </w:tcMar>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Mar>
              <w:left w:w="120"/>
            </w:tcMar>
            <w:tcMar>
              <w:right w:w="120"/>
            </w:tcMar>
            <w:tcMar>
              <w:top w:w="40"/>
            </w:tcMar>
            <w:tcMar>
              <w:bottom w:w="40"/>
            </w:tcMar>
          </w:tcPr>
          <w:p>
            <w:pPr>
              <w:spacing w:before="0" w:after="0" w:line="240" w:lineRule="exact"/>
              <w:ind w:left="0" w:right="0" w:firstLine="0"/>
              <w:jc w:val="center"/>
            </w:pPr>
            <w:r>
              <w:rPr>
                <w:rFonts w:ascii="Times New Roman" w:hAnsi="Times New Roman"/>
                <w:b/>
                <w:sz w:val="20"/>
              </w:rPr>
              <w:t xml:space="preserve">Secretary of State</w:t>
            </w:r>
          </w:p>
          <w:p>
            <w:pPr>
              <w:spacing w:before="0" w:after="0" w:line="240" w:lineRule="exact"/>
              <w:ind w:left="0" w:right="0" w:firstLine="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5376</w:t>
      </w:r>
    </w:p>
    <w:p>
      <w:pPr>
        <w:jc w:val="center"/>
      </w:pPr>
      <w:r>
        <w:t>_______________________________________________</w:t>
      </w:r>
    </w:p>
    <w:p/>
    <w:p>
      <w:pPr>
        <w:jc w:val="center"/>
      </w:pPr>
      <w:r>
        <w:t xml:space="preserve">AS AMENDED BY THE </w:t>
        <w:t>HOUSE</w:t>
      </w:r>
    </w:p>
    <w:p/>
    <w:p>
      <w:pPr>
        <w:jc w:val="center"/>
      </w:pPr>
      <w:r>
        <w:t>Passed Legislature</w:t>
      </w:r>
      <w:r>
        <w:t xml:space="preserve"> - </w:t>
        <w:t>2024 Regular Session</w:t>
      </w:r>
    </w:p>
    <w:p/>
    <w:p>
      <w:r>
        <w:rPr>
          <w:b/>
        </w:rPr>
        <w:t>State of Washington</w:t>
        <w:tab/>
        <w:tab/>
      </w:r>
      <w:r>
        <w:rPr>
          <w:b/>
        </w:rPr>
        <w:t>68th Legislature</w:t>
        <w:tab/>
      </w:r>
      <w:r>
        <w:rPr>
          <w:b/>
        </w:rPr>
        <w:t>2023 Regular Session</w:t>
      </w:r>
    </w:p>
    <w:p/>
    <w:p>
      <w:r>
        <w:rPr>
          <w:b/>
        </w:rPr>
        <w:t xml:space="preserve">By </w:t>
      </w:r>
      <w:r>
        <w:t>Senate Labor &amp; Commerce (originally sponsored by Senators Stanford, Rivers, Keiser, Saldaña, and C. Wilson)</w:t>
      </w:r>
    </w:p>
    <w:p/>
    <w:p>
      <w:r>
        <w:rPr>
          <w:t xml:space="preserve">READ FIRST TIME 02/01/23.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the sale of cannabis waste; and adding a new section to chapter 69.50 RCW. </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69</w:t>
      </w:r>
      <w:r>
        <w:rPr/>
        <w:t xml:space="preserve">.</w:t>
      </w:r>
      <w:r>
        <w:t xml:space="preserve">50</w:t>
      </w:r>
      <w:r>
        <w:rPr/>
        <w:t xml:space="preserve"> RCW</w:t>
      </w:r>
      <w:r>
        <w:rPr/>
        <w:t xml:space="preserve"> to read as follows:</w:t>
      </w:r>
    </w:p>
    <w:p>
      <w:pPr>
        <w:spacing w:before="0" w:after="0" w:line="408" w:lineRule="exact"/>
        <w:ind w:left="0" w:right="0" w:firstLine="576"/>
        <w:jc w:val="left"/>
      </w:pPr>
      <w:r>
        <w:rPr/>
        <w:t xml:space="preserve">(1) A licensed cannabis producer and a licensed cannabis processor may sell cannabis waste to a person not licensed under this chapter if:</w:t>
      </w:r>
    </w:p>
    <w:p>
      <w:pPr>
        <w:spacing w:before="0" w:after="0" w:line="408" w:lineRule="exact"/>
        <w:ind w:left="0" w:right="0" w:firstLine="576"/>
        <w:jc w:val="left"/>
      </w:pPr>
      <w:r>
        <w:rPr/>
        <w:t xml:space="preserve">(a) The cannabis waste would not be designated as dangerous or hazardous waste under:</w:t>
      </w:r>
    </w:p>
    <w:p>
      <w:pPr>
        <w:spacing w:before="0" w:after="0" w:line="408" w:lineRule="exact"/>
        <w:ind w:left="0" w:right="0" w:firstLine="576"/>
        <w:jc w:val="left"/>
      </w:pPr>
      <w:r>
        <w:rPr/>
        <w:t xml:space="preserve">(i) Chapter 70A.300 RCW and rules adopted under that chapter; and</w:t>
      </w:r>
    </w:p>
    <w:p>
      <w:pPr>
        <w:spacing w:before="0" w:after="0" w:line="408" w:lineRule="exact"/>
        <w:ind w:left="0" w:right="0" w:firstLine="576"/>
        <w:jc w:val="left"/>
      </w:pPr>
      <w:r>
        <w:rPr/>
        <w:t xml:space="preserve">(ii) Cannabis waste disposal rules adopted by the board;</w:t>
      </w:r>
    </w:p>
    <w:p>
      <w:pPr>
        <w:spacing w:before="0" w:after="0" w:line="408" w:lineRule="exact"/>
        <w:ind w:left="0" w:right="0" w:firstLine="576"/>
        <w:jc w:val="left"/>
      </w:pPr>
      <w:r>
        <w:rPr/>
        <w:t xml:space="preserve">(b) The licensee notifies the board and the Washington state department of agriculture before the sale. Such notice must include information about the quantity and sale price of cannabis waste transferred and the name of the person or entity that purchased the cannabis waste; and</w:t>
      </w:r>
    </w:p>
    <w:p>
      <w:pPr>
        <w:spacing w:before="0" w:after="0" w:line="408" w:lineRule="exact"/>
        <w:ind w:left="0" w:right="0" w:firstLine="576"/>
        <w:jc w:val="left"/>
      </w:pPr>
      <w:r>
        <w:rPr/>
        <w:t xml:space="preserve">(c) The licensee makes all sales available to the public on an equal and nondiscriminatory basis.</w:t>
      </w:r>
    </w:p>
    <w:p>
      <w:pPr>
        <w:spacing w:before="0" w:after="0" w:line="408" w:lineRule="exact"/>
        <w:ind w:left="0" w:right="0" w:firstLine="576"/>
        <w:jc w:val="left"/>
      </w:pPr>
      <w:r>
        <w:rPr/>
        <w:t xml:space="preserve">(2) Cannabis waste not sold in accordance with subsection (1) of this section and not designated as dangerous or hazardous waste under chapter 70A.300 RCW, rules adopted pursuant to that chapter, or cannabis waste disposal rules adopted by the board must be rendered unusable before leaving a licensed producer, processor, or laboratory.</w:t>
      </w:r>
    </w:p>
    <w:p>
      <w:pPr>
        <w:spacing w:before="0" w:after="0" w:line="408" w:lineRule="exact"/>
        <w:ind w:left="0" w:right="0" w:firstLine="576"/>
        <w:jc w:val="left"/>
      </w:pPr>
      <w:r>
        <w:rPr/>
        <w:t xml:space="preserve">(3) For the purposes of this section, "cannabis waste" means solid waste generated during cannabis production or processing that has a THC concentration of 0.3 percent or less. "Cannabis waste" does not include "hemp" or "industrial hemp" as those terms are defined in RCW 15.140.020.</w:t>
      </w:r>
    </w:p>
    <w:p>
      <w:pPr>
        <w:spacing w:before="0" w:after="0" w:line="408" w:lineRule="exact"/>
        <w:ind w:left="0" w:right="0" w:firstLine="576"/>
        <w:jc w:val="left"/>
      </w:pPr>
      <w:r>
        <w:rPr/>
        <w:t xml:space="preserve">(4) Nothing in this chapter prohibits producers or processors from selling cannabis waste to a person not licensed under this chapter if such transfer is pursuant to the requirements of this section. </w:t>
      </w:r>
    </w:p>
    <w:p>
      <w:pPr>
        <w:spacing w:before="0" w:after="0" w:line="408" w:lineRule="exact"/>
        <w:ind w:left="0" w:right="0" w:firstLine="576"/>
        <w:jc w:val="left"/>
      </w:pPr>
      <w:r>
        <w:rPr/>
        <w:t xml:space="preserve">(5) The board may adopt rules necessary to implement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March 4, 2024.</w:t>
      </w:r>
    </w:p>
    <w:p>
      <w:pPr>
        <w:spacing w:before="0" w:after="0" w:line="408" w:lineRule="exact"/>
        <w:ind w:left="0" w:right="0" w:firstLine="576"/>
        <w:jc w:val="left"/>
      </w:pPr>
      <w:r>
        <w:rPr/>
        <w:t xml:space="preserve">Passed by the House February 29, 2024.</w:t>
      </w:r>
    </w:p>
    <w:p>
      <w:pPr>
        <w:spacing w:before="0" w:after="0" w:line="408" w:lineRule="exact"/>
        <w:ind w:left="0" w:right="0" w:firstLine="576"/>
        <w:jc w:val="left"/>
      </w:pPr>
      <w:r>
        <w:rPr/>
        <w:t xml:space="preserve">Approved by the Governor March 25, 2024.</w:t>
      </w:r>
    </w:p>
    <w:p>
      <w:pPr>
        <w:spacing w:before="0" w:after="0" w:line="408" w:lineRule="exact"/>
        <w:ind w:left="0" w:right="0" w:firstLine="576"/>
        <w:jc w:val="left"/>
      </w:pPr>
      <w:r>
        <w:rPr/>
        <w:t xml:space="preserve">Filed in Office of Secretary of State March 26, 2024.</w:t>
      </w:r>
    </w:p>
    <w:sectPr>
      <w:pgNumType w:start="1"/>
      <w:footerReference xmlns:r="http://schemas.openxmlformats.org/officeDocument/2006/relationships" r:id="R6bda4405a88946ec"/>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5376.SL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719d39b331b54744" /><Relationship Type="http://schemas.openxmlformats.org/officeDocument/2006/relationships/footer" Target="/word/footer1.xml" Id="R6bda4405a88946ec" /></Relationships>
</file>