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8854a178343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5316</w:t>
      </w:r>
    </w:p>
    <w:p>
      <w:pPr>
        <w:jc w:val="center"/>
        <w:spacing w:before="480" w:after="0" w:line="240"/>
      </w:pPr>
      <w:r>
        <w:t xml:space="preserve">Chapter </w:t>
      </w:r>
      <w:r>
        <w:rPr/>
        <w:t xml:space="preserve">437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CHILDREN, YOUTH, AND FAMILIES—BACKGROUND CHECK AND LICENSING FEES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30</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87</w:t>
            </w:r>
            <w:r>
              <w:t xml:space="preserve">  Nays </w:t>
              <w:t xml:space="preserve">10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5316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5316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 Wilson, Billig, and Nobles</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 and licensing fees for programs administered by the department of children, youth, and families; amending RCW 43.43.837, 43.216.270, and 43.216.271; creating a new section; and repealing RCW 43.216.272 and 43.216.273.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w:t>
      </w:r>
      <w:r>
        <w:t>((</w:t>
      </w:r>
      <w:r>
        <w:rPr>
          <w:strike/>
        </w:rPr>
        <w:t xml:space="preserve">applicant</w:t>
      </w:r>
      <w:r>
        <w:t>))</w:t>
      </w:r>
      <w:r>
        <w:rPr/>
        <w:t xml:space="preserve"> </w:t>
      </w:r>
      <w:r>
        <w:rPr>
          <w:u w:val="single"/>
        </w:rPr>
        <w:t xml:space="preserve">foster care and child care applicants</w:t>
      </w:r>
      <w:r>
        <w:rPr/>
        <w:t xml:space="preserve"> and service providers </w:t>
      </w:r>
      <w:r>
        <w:t>((</w:t>
      </w:r>
      <w:r>
        <w:rPr>
          <w:strike/>
        </w:rPr>
        <w:t xml:space="preserve">providing foster care as required in RCW 74.15.030</w:t>
      </w:r>
      <w:r>
        <w:t>))</w:t>
      </w:r>
      <w:r>
        <w:rPr/>
        <w:t xml:space="preserve">.</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For fiscal year 2023, applicants for child care and early learning services to children under RCW 43.216.270</w:t>
      </w:r>
      <w:r>
        <w:t>))</w:t>
      </w:r>
      <w:r>
        <w:rPr/>
        <w:t xml:space="preserve">.</w:t>
      </w:r>
    </w:p>
    <w:p>
      <w:pPr>
        <w:spacing w:before="0" w:after="0" w:line="408" w:lineRule="exact"/>
        <w:ind w:left="0" w:right="0" w:firstLine="576"/>
        <w:jc w:val="left"/>
      </w:pPr>
      <w:r>
        <w:rPr/>
        <w:t xml:space="preserve">(8) </w:t>
      </w:r>
      <w:r>
        <w:t>((</w:t>
      </w:r>
      <w:r>
        <w:rPr>
          <w:strike/>
        </w:rPr>
        <w:t xml:space="preserve">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strike/>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strike/>
        </w:rPr>
        <w:t xml:space="preserve">(10)</w:t>
      </w:r>
      <w:r>
        <w:t>))</w:t>
      </w:r>
      <w:r>
        <w:rPr/>
        <w:t xml:space="preserve">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2022 c 297 s 960 are each amended to read as follows:</w:t>
      </w:r>
    </w:p>
    <w:p>
      <w:pPr>
        <w:spacing w:before="0" w:after="0" w:line="408" w:lineRule="exact"/>
        <w:ind w:left="0" w:right="0" w:firstLine="576"/>
        <w:jc w:val="left"/>
      </w:pPr>
      <w:r>
        <w:rPr/>
        <w:t xml:space="preserve">(1)(a)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w:t>
      </w:r>
      <w:r>
        <w:t>((</w:t>
      </w:r>
      <w:r>
        <w:rPr>
          <w:strike/>
        </w:rPr>
        <w:t xml:space="preserve">(i)</w:t>
      </w:r>
      <w:r>
        <w:t>))</w:t>
      </w:r>
      <w:r>
        <w:rPr/>
        <w:t xml:space="preserve">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t>((</w:t>
      </w:r>
      <w:r>
        <w:rPr>
          <w:strike/>
        </w:rPr>
        <w:t xml:space="preserve">(ii) Except during fiscal year 2023,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r>
        <w:t>))</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w:t>
      </w:r>
      <w:r>
        <w:t>((</w:t>
      </w:r>
      <w:r>
        <w:rPr>
          <w:strike/>
        </w:rPr>
        <w:t xml:space="preserve">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r>
        <w:t>))</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w:t>
      </w:r>
      <w:r>
        <w:t>((</w:t>
      </w:r>
      <w:r>
        <w:rPr>
          <w:strike/>
        </w:rPr>
        <w:t xml:space="preserve">three</w:t>
      </w:r>
      <w:r>
        <w:t>))</w:t>
      </w:r>
      <w:r>
        <w:rPr/>
        <w:t xml:space="preserve"> </w:t>
      </w:r>
      <w:r>
        <w:rPr>
          <w:u w:val="single"/>
        </w:rPr>
        <w:t xml:space="preserve">five</w:t>
      </w:r>
      <w:r>
        <w:rPr/>
        <w:t xml:space="preserv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w:t>
      </w:r>
      <w:r>
        <w:t>((</w:t>
      </w:r>
      <w:r>
        <w:rPr>
          <w:strike/>
        </w:rPr>
        <w:t xml:space="preserve">Except during fiscal year 2023, fee requirements applicable to this section also apply to background clearance renewal applications.</w:t>
      </w:r>
      <w:r>
        <w:t>))</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w:t>
      </w:r>
      <w:r>
        <w:t>((</w:t>
      </w:r>
      <w:r>
        <w:rPr>
          <w:strike/>
        </w:rPr>
        <w:t xml:space="preserve">The payment requirements applicable to (a) through (g) of this subsection do not apply to persons who:</w:t>
      </w:r>
    </w:p>
    <w:p>
      <w:pPr>
        <w:spacing w:before="0" w:after="0" w:line="408" w:lineRule="exact"/>
        <w:ind w:left="0" w:right="0" w:firstLine="576"/>
        <w:jc w:val="left"/>
      </w:pPr>
      <w:r>
        <w:rPr>
          <w:strike/>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strike/>
        </w:rPr>
        <w:t xml:space="preserve">(ii) Receive child care subsidies; and</w:t>
      </w:r>
    </w:p>
    <w:p>
      <w:pPr>
        <w:spacing w:before="0" w:after="0" w:line="408" w:lineRule="exact"/>
        <w:ind w:left="0" w:right="0" w:firstLine="576"/>
        <w:jc w:val="left"/>
      </w:pPr>
      <w:r>
        <w:rPr>
          <w:strike/>
        </w:rPr>
        <w:t xml:space="preserve">(iii) Are exempt from licensing under this chapter.</w:t>
      </w:r>
    </w:p>
    <w:p>
      <w:pPr>
        <w:spacing w:before="0" w:after="0" w:line="408" w:lineRule="exact"/>
        <w:ind w:left="0" w:right="0" w:firstLine="576"/>
        <w:jc w:val="left"/>
      </w:pPr>
      <w:r>
        <w:rPr>
          <w:strike/>
        </w:rPr>
        <w:t xml:space="preserve">(i)</w:t>
      </w:r>
      <w:r>
        <w:t>))</w:t>
      </w:r>
      <w:r>
        <w:rPr/>
        <w:t xml:space="preserve"> The applicant and agency shall maintain on-site for inspection a copy of the background check clearance card or certificate.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w:t>
      </w:r>
      <w:r>
        <w:t>((</w:t>
      </w:r>
      <w:r>
        <w:rPr>
          <w:strike/>
        </w:rPr>
        <w:t xml:space="preserve">and, except during fiscal year 2023, may charge a fee for these additional background checks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271</w:t>
      </w:r>
      <w:r>
        <w:rPr/>
        <w:t xml:space="preserve"> and 2021 c 304 s 12 are each amended to read as follows:</w:t>
      </w:r>
    </w:p>
    <w:p>
      <w:pPr>
        <w:spacing w:before="0" w:after="0" w:line="408" w:lineRule="exact"/>
        <w:ind w:left="0" w:right="0" w:firstLine="576"/>
        <w:jc w:val="left"/>
      </w:pPr>
      <w:r>
        <w:t>((</w:t>
      </w:r>
      <w:r>
        <w:rPr>
          <w:strike/>
        </w:rPr>
        <w:t xml:space="preserve">Subject to appropriation, the</w:t>
      </w:r>
      <w:r>
        <w:t>))</w:t>
      </w:r>
      <w:r>
        <w:rPr/>
        <w:t xml:space="preserve"> </w:t>
      </w:r>
      <w:r>
        <w:rPr>
          <w:u w:val="single"/>
        </w:rPr>
        <w:t xml:space="preserve">The</w:t>
      </w:r>
      <w:r>
        <w:rPr/>
        <w:t xml:space="preserve"> department shall maintain an individual-based or portable background check clearance registry. Any individual seeking a child care license or employment in any child care facility or outdoor nature-based child care program licensed or regulated under current law shall submit a background application on a form prescribed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216</w:t>
      </w:r>
      <w:r>
        <w:rPr/>
        <w:t xml:space="preserve">.</w:t>
      </w:r>
      <w:r>
        <w:t xml:space="preserve">272</w:t>
      </w:r>
      <w:r>
        <w:rPr/>
        <w:t xml:space="preserve"> (Fee for developing and administering individual-based/portable background check clearance registry) and 2017 3rd sp.s. c 6 s 208 &amp; 2011 c 295 s 4; and</w:t>
      </w:r>
    </w:p>
    <w:p>
      <w:pPr>
        <w:spacing w:before="0" w:after="0" w:line="408" w:lineRule="exact"/>
        <w:ind w:left="0" w:right="0" w:firstLine="576"/>
        <w:jc w:val="left"/>
      </w:pPr>
      <w:r>
        <w:t xml:space="preserve">(2) </w:t>
      </w:r>
      <w:r>
        <w:rPr/>
        <w:t xml:space="preserve">RCW </w:t>
      </w:r>
      <w:r>
        <w:t xml:space="preserve">43</w:t>
      </w:r>
      <w:r>
        <w:rPr/>
        <w:t xml:space="preserve">.</w:t>
      </w:r>
      <w:r>
        <w:t xml:space="preserve">216</w:t>
      </w:r>
      <w:r>
        <w:rPr/>
        <w:t xml:space="preserve">.</w:t>
      </w:r>
      <w:r>
        <w:t xml:space="preserve">273</w:t>
      </w:r>
      <w:r>
        <w:rPr/>
        <w:t xml:space="preserve"> (Individual-based/portable background check clearance account) and 2017 3rd sp.s. c 6 s 209 &amp; 2011 c 295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20,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b01bb907886a4f0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79921280ca47fd" /><Relationship Type="http://schemas.openxmlformats.org/officeDocument/2006/relationships/footer" Target="/word/footer1.xml" Id="Rb01bb907886a4f03" /></Relationships>
</file>