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e69d9671fa44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5166</w:t>
      </w:r>
    </w:p>
    <w:p>
      <w:pPr>
        <w:jc w:val="center"/>
        <w:spacing w:before="480" w:after="0" w:line="240"/>
      </w:pPr>
      <w:r>
        <w:t xml:space="preserve">Chapter </w:t>
      </w:r>
      <w:r>
        <w:rPr/>
        <w:t xml:space="preserve">317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COOPERATIVE FINANCE ORGANIZATIONS—LOANS TO UTILITIES—BUSINESS AND OCCUPATION TAX DEDUCTION—REAUTHORIZATION</w:t>
      </w:r>
    </w:p>
    <w:p>
      <w:pPr>
        <w:spacing w:before="720" w:after="240" w:line="240" w:lineRule="exact"/>
        <w:ind w:left="0" w:right="0" w:firstLine="0"/>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5166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3:55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5166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Boehnke, Mullet, Conway, Short, and Warnick</w:t>
      </w:r>
    </w:p>
    <w:p/>
    <w:p>
      <w:r>
        <w:rPr>
          <w:t xml:space="preserve">Prefiled 01/05/23.</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the business and occupation tax deduction for cooperative finance organizations; adding a new section to chapter 82.04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2023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at least one cooperative finance organization in this state used the deduction, then the legislature intends to extend the expiration date of this tax deduction.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0" w:after="0" w:line="408" w:lineRule="exact"/>
        <w:ind w:left="0" w:right="0" w:firstLine="576"/>
        <w:jc w:val="left"/>
      </w:pPr>
      <w:r>
        <w:rPr/>
        <w:t xml:space="preserve">(3)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4d2f21bac0ae4a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b60f4dbf71415d" /><Relationship Type="http://schemas.openxmlformats.org/officeDocument/2006/relationships/footer" Target="/word/footer1.xml" Id="R4d2f21bac0ae4adb" /></Relationships>
</file>