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a37d2675745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5134</w:t>
      </w:r>
    </w:p>
    <w:p>
      <w:pPr>
        <w:jc w:val="center"/>
        <w:spacing w:before="480" w:after="0" w:line="240"/>
      </w:pPr>
      <w:r>
        <w:t xml:space="preserve">Chapter </w:t>
      </w:r>
      <w:r>
        <w:rPr/>
        <w:t xml:space="preserve">467</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DEPARTMENT OF CORRECTIONS—RELEASE FROM CONFINEMENT—MONEY FOR SUBSISTENCE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37</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63</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5134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3:16 PM with the exception of sections 1 and 3,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5134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 Wilson, Dhingra, Frame, Hasegawa, Kuderer, Nguyen, Nobles, Randall, Saldaña,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reentry services and supports; amending RCW 72.02.100 and 72.09.270;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successful rehabilitation and reentry has a positive impact on reduced recidivism rates and increased community safety. The legislature further finds that the success of individuals releasing from confinement in correctional institutions can be increased through access to supportive services, medical assistance, and other necessities. The legislature recognizes that the mortality rate in the first 72 hours following release from confinement is on average 18 times higher than the general population. The legislature further finds that access to basic human needs like food, medication, clothing, transportation, and shelter are necessary supports for most individuals exiting confinement. Therefore, the legislature resolves to enhance recovery, reduce recidivism, and improve public safety by providing increased access to supportive services and assistance following release from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2022 c 29 s 2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w:t>
      </w:r>
      <w:r>
        <w:rPr>
          <w:u w:val="single"/>
        </w:rPr>
        <w:t xml:space="preserve">no less than</w:t>
      </w:r>
      <w:r>
        <w:rPr/>
        <w:t xml:space="preserve"> $40 for subsistence, and transportation by the least expensive method of public transportation not to exceed the cost of $100 to his or her place of residence or the place designated in his or her parole plan, or to the place from which committed if such person is being discharged on expiration of sentence, or discharged from custody by a court of appropriate jurisdiction: PROVIDED, That up to </w:t>
      </w:r>
      <w:r>
        <w:t>((</w:t>
      </w:r>
      <w:r>
        <w:rPr>
          <w:strike/>
        </w:rPr>
        <w:t xml:space="preserve">60 additional dollars</w:t>
      </w:r>
      <w:r>
        <w:t>))</w:t>
      </w:r>
      <w:r>
        <w:rPr/>
        <w:t xml:space="preserve"> </w:t>
      </w:r>
      <w:r>
        <w:rPr>
          <w:u w:val="single"/>
        </w:rPr>
        <w:t xml:space="preserve">an additional $60</w:t>
      </w:r>
      <w:r>
        <w:rPr/>
        <w:t xml:space="preserve">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(2)(a)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2021 c 200 s 3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incarcerated individual who is committed to the jurisdiction of the department except:</w:t>
      </w:r>
    </w:p>
    <w:p>
      <w:pPr>
        <w:spacing w:before="0" w:after="0" w:line="408" w:lineRule="exact"/>
        <w:ind w:left="0" w:right="0" w:firstLine="576"/>
        <w:jc w:val="left"/>
      </w:pPr>
      <w:r>
        <w:rPr/>
        <w:t xml:space="preserve">(a) Incarcerated individuals who are sentenced to life without the possibility of release or sentenced to death under chapter 10.95 RCW; and</w:t>
      </w:r>
    </w:p>
    <w:p>
      <w:pPr>
        <w:spacing w:before="0" w:after="0" w:line="408" w:lineRule="exact"/>
        <w:ind w:left="0" w:right="0" w:firstLine="576"/>
        <w:jc w:val="left"/>
      </w:pPr>
      <w:r>
        <w:rPr/>
        <w:t xml:space="preserve">(b) Incarcerated individuals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incarcerated individuals using standardized and comprehensive tools to identify the criminogenic risks, programmatic needs, and educational and vocational skill levels for each incarcerated individual. The assessment tool should take into account demographic biases, such as culture, age, and gender, as well as the needs of the incarcerated individual, including any learning disabilities, substance abuse or mental health issues, and social or behavior challenges.</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incarcerated individual's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incarcerated individual's children and family, if appropriate. The plan should determine whether parenting classes, or other services, are appropriate to facilitate successful reunification with the incarcerated individual's children and family;</w:t>
      </w:r>
    </w:p>
    <w:p>
      <w:pPr>
        <w:spacing w:before="0" w:after="0" w:line="408" w:lineRule="exact"/>
        <w:ind w:left="0" w:right="0" w:firstLine="576"/>
        <w:jc w:val="left"/>
      </w:pPr>
      <w:r>
        <w:rPr/>
        <w:t xml:space="preserve">(b) An individualized portfolio for each incarcerated individual that includes the incarcerated individual's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incarcerated individual during the period of incarceration through reentry into the community that addresses the needs of the incarcerated individual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w:t>
      </w:r>
      <w:r>
        <w:t>((</w:t>
      </w:r>
      <w:r>
        <w:rPr>
          <w:strike/>
        </w:rPr>
        <w:t xml:space="preserve">Prior to</w:t>
      </w:r>
      <w:r>
        <w:t>))</w:t>
      </w:r>
      <w:r>
        <w:rPr/>
        <w:t xml:space="preserve"> </w:t>
      </w:r>
      <w:r>
        <w:rPr>
          <w:u w:val="single"/>
        </w:rPr>
        <w:t xml:space="preserve">Within one year prior to the release or</w:t>
      </w:r>
      <w:r>
        <w:rPr/>
        <w:t xml:space="preserve"> discharge of any incarcerated individual, the department shall </w:t>
      </w:r>
      <w:r>
        <w:rPr>
          <w:u w:val="single"/>
        </w:rPr>
        <w:t xml:space="preserve">develop an individual discharge plan and provide reentry linkage case management services as follows</w:t>
      </w:r>
      <w:r>
        <w:rPr/>
        <w:t xml:space="preserve">:</w:t>
      </w:r>
    </w:p>
    <w:p>
      <w:pPr>
        <w:spacing w:before="0" w:after="0" w:line="408" w:lineRule="exact"/>
        <w:ind w:left="0" w:right="0" w:firstLine="576"/>
        <w:jc w:val="left"/>
      </w:pPr>
      <w:r>
        <w:rPr/>
        <w:t xml:space="preserve">(i) Evaluate the incarcerated individual's </w:t>
      </w:r>
      <w:r>
        <w:rPr>
          <w:u w:val="single"/>
        </w:rPr>
        <w:t xml:space="preserve">behavioral health and physical health</w:t>
      </w:r>
      <w:r>
        <w:rPr/>
        <w:t xml:space="preserve"> needs and, to the extent possible, connect the incarcerated individual with </w:t>
      </w:r>
      <w:r>
        <w:t>((</w:t>
      </w:r>
      <w:r>
        <w:rPr>
          <w:strike/>
        </w:rPr>
        <w:t xml:space="preserve">existing services and resources that meet those needs</w:t>
      </w:r>
      <w:r>
        <w:t>))</w:t>
      </w:r>
      <w:r>
        <w:rPr/>
        <w:t xml:space="preserve"> </w:t>
      </w:r>
      <w:r>
        <w:rPr>
          <w:u w:val="single"/>
        </w:rPr>
        <w:t xml:space="preserve">relevant services, treatment programs, medication-assisted treatment, tribal and urban health clinics, and behavioral health services, and other resources based on the individual's evaluated needs;</w:t>
      </w:r>
    </w:p>
    <w:p>
      <w:pPr>
        <w:spacing w:before="0" w:after="0" w:line="408" w:lineRule="exact"/>
        <w:ind w:left="0" w:right="0" w:firstLine="576"/>
        <w:jc w:val="left"/>
      </w:pPr>
      <w:r>
        <w:rPr>
          <w:u w:val="single"/>
        </w:rPr>
        <w:t xml:space="preserve">(ii) Assist the incarcerated individual with obtaining identification upon release;</w:t>
      </w:r>
    </w:p>
    <w:p>
      <w:pPr>
        <w:spacing w:before="0" w:after="0" w:line="408" w:lineRule="exact"/>
        <w:ind w:left="0" w:right="0" w:firstLine="576"/>
        <w:jc w:val="left"/>
      </w:pPr>
      <w:r>
        <w:rPr>
          <w:u w:val="single"/>
        </w:rPr>
        <w:t xml:space="preserve">(iii) Assist the incarcerated individual with submitting applications for applicable state and federal government assistance and benefits programs on behalf of the incarcerated individual;</w:t>
      </w:r>
    </w:p>
    <w:p>
      <w:pPr>
        <w:spacing w:before="0" w:after="0" w:line="408" w:lineRule="exact"/>
        <w:ind w:left="0" w:right="0" w:firstLine="576"/>
        <w:jc w:val="left"/>
      </w:pPr>
      <w:r>
        <w:rPr>
          <w:u w:val="single"/>
        </w:rPr>
        <w:t xml:space="preserve">(iv) Prepare a 90-day supply of any necessary prescribed medications to be provided upon release, through a combination of a 30-day supply of in-hand medications and 60-day supply of prescriptions, to ensure continuity of care and that medications are readily available for the incarcerated individual upon release</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(v)</w:t>
      </w:r>
      <w:r>
        <w:rPr/>
        <w:t xml:space="preserve"> Connect the incarcerated individual with a community justice center and/or community transition coordination network in the area in which the incarcerated individual will be residing once released from the correctional system if one exists.</w:t>
      </w:r>
    </w:p>
    <w:p>
      <w:pPr>
        <w:spacing w:before="0" w:after="0" w:line="408" w:lineRule="exact"/>
        <w:ind w:left="0" w:right="0" w:firstLine="576"/>
        <w:jc w:val="left"/>
      </w:pPr>
      <w:r>
        <w:rPr/>
        <w:t xml:space="preserve">(b) If the department recommends partial confinement in an incarcerated individual's individual reentry plan, the department shall maximize the period of partial confinement for the incarcerated individual as allowed pursuant to RCW 9.94A.728 to facilitate the incarcerated individual's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incarcerated individual's treatment, programming, and reentry, when deemed appropriate. When feasible, this information shall be shared electronically.</w:t>
      </w:r>
    </w:p>
    <w:p>
      <w:pPr>
        <w:spacing w:before="0" w:after="0" w:line="408" w:lineRule="exact"/>
        <w:ind w:left="0" w:right="0" w:firstLine="576"/>
        <w:jc w:val="left"/>
      </w:pPr>
      <w:r>
        <w:rPr/>
        <w:t xml:space="preserve">(8)(a) In determining the county of discharge for an incarcerated individual released to community custody, the department may approve a residence location that is not in the incarcerated individual's county of origin if the department determines that the residence location would be appropriate based on any court-ordered condition of the incarcerated individual's sentence, victim safety concerns, and factors that increase opportunities for successful reentry and long-term support including, but not limited to, location of family or other sponsoring persons or organizations that will support the incarcerated individual, ability to complete an educational program that the incarcerated individual is enrolled in, availability of appropriate programming or treatment, and access to housing, employment, and prosocial influences on the person in the community.</w:t>
      </w:r>
    </w:p>
    <w:p>
      <w:pPr>
        <w:spacing w:before="0" w:after="0" w:line="408" w:lineRule="exact"/>
        <w:ind w:left="0" w:right="0" w:firstLine="576"/>
        <w:jc w:val="left"/>
      </w:pPr>
      <w:r>
        <w:rPr/>
        <w:t xml:space="preserve">(b) In implementing the provisions of this subsection, the department shall approve residence locations in a manner that will not cause any one county to be disproportionately impacted.</w:t>
      </w:r>
    </w:p>
    <w:p>
      <w:pPr>
        <w:spacing w:before="0" w:after="0" w:line="408" w:lineRule="exact"/>
        <w:ind w:left="0" w:right="0" w:firstLine="576"/>
        <w:jc w:val="left"/>
      </w:pPr>
      <w:r>
        <w:rPr/>
        <w:t xml:space="preserve">(c) If the incarcerated individual is not returned to his or her county of origin, the department shall provide the law and justice council of the county in which the incarcerated individual is placed with a written explanation.</w:t>
      </w:r>
    </w:p>
    <w:p>
      <w:pPr>
        <w:spacing w:before="0" w:after="0" w:line="408" w:lineRule="exact"/>
        <w:ind w:left="0" w:right="0" w:firstLine="576"/>
        <w:jc w:val="left"/>
      </w:pPr>
      <w:r>
        <w:rPr/>
        <w:t xml:space="preserve">(d)(i) For purposes of this section, except as provided in (d)(ii) of this subsection, the incarcerated individual's county of origin means the county of the incarcerated individual's residence at the time of the incarcerated individual's first felony conviction in Washington state.</w:t>
      </w:r>
    </w:p>
    <w:p>
      <w:pPr>
        <w:spacing w:before="0" w:after="0" w:line="408" w:lineRule="exact"/>
        <w:ind w:left="0" w:right="0" w:firstLine="576"/>
        <w:jc w:val="left"/>
      </w:pPr>
      <w:r>
        <w:rPr/>
        <w:t xml:space="preserve">(ii) If the incarcerated individual is a homeless person as defined in RCW 43.185C.010, or the incarcerated individual's residence is unknown, then the incarcerated individual's county of origin means the county of the incarcerated individual's first felony conviction in Washington state.</w:t>
      </w:r>
    </w:p>
    <w:p>
      <w:pPr>
        <w:spacing w:before="0" w:after="0" w:line="408" w:lineRule="exact"/>
        <w:ind w:left="0" w:right="0" w:firstLine="576"/>
        <w:jc w:val="left"/>
      </w:pPr>
      <w:r>
        <w:rPr/>
        <w:t xml:space="preserve">(9) Nothing in this section creates a vested right in programming, education, or other services.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19, 2023.</w:t>
      </w:r>
    </w:p>
    <w:p>
      <w:pPr>
        <w:spacing w:before="0" w:after="0" w:line="408" w:lineRule="exact"/>
        <w:ind w:left="0" w:right="0" w:firstLine="576"/>
        <w:jc w:val="left"/>
      </w:pPr>
      <w:r>
        <w:rPr/>
        <w:t xml:space="preserve">Approved by the Governor May 15, 2023, with the exception of certain items that were vetoed.</w:t>
      </w:r>
    </w:p>
    <w:p>
      <w:pPr>
        <w:spacing w:before="0" w:after="0" w:line="408" w:lineRule="exact"/>
        <w:ind w:left="0" w:right="0" w:firstLine="576"/>
        <w:jc w:val="left"/>
      </w:pPr>
      <w:r>
        <w:rPr/>
        <w:t xml:space="preserve">Filed in Office of Secretary of State May 16,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 and 3, Second Substitute Senate Bill No. 5134 entitled:</w:t>
      </w:r>
    </w:p>
    <w:p>
      <w:pPr>
        <w:spacing w:before="120" w:after="0" w:line="408" w:lineRule="exact"/>
        <w:ind w:left="0" w:right="0" w:firstLine="576"/>
        <w:jc w:val="left"/>
      </w:pPr>
      <w:r>
        <w:rPr/>
        <w:t xml:space="preserve">"AN ACT Relating to reentry services and supports."</w:t>
      </w:r>
    </w:p>
    <w:p>
      <w:pPr>
        <w:spacing w:before="120" w:after="0" w:line="408" w:lineRule="exact"/>
        <w:ind w:left="0" w:right="0" w:firstLine="0"/>
        <w:jc w:val="left"/>
      </w:pPr>
      <w:r>
        <w:rPr/>
        <w:t xml:space="preserve">Section 3 of Second Substitute Senate Bill 5134 expands the Department of Corrections' existing discharge planning requirements by adding a number of reentry linkage case management services to its existing individual reentry planning requirements. For example, Section 3 would require that discharge plans include an evaluation of each person's behavioral and physical health needs, as well as assistance with obtaining identification and completing applications for state and federal government assistance and benefits.</w:t>
      </w:r>
    </w:p>
    <w:p>
      <w:pPr>
        <w:spacing w:before="120" w:after="0" w:line="408" w:lineRule="exact"/>
        <w:ind w:left="0" w:right="0" w:firstLine="0"/>
        <w:jc w:val="left"/>
      </w:pPr>
      <w:r>
        <w:rPr/>
        <w:t xml:space="preserve">I agree that we should better support individuals who leave prison after completing their sentences and return to the community. Connecting these individuals with treatment and health services will facilitate successful reentry and reduce recidivism. However, the funding provided for Section 3 of this bill is inadequate and the department does not have the capacity to absorb this work within its existing budget. Therefore, I am vetoing Section 3.</w:t>
      </w:r>
    </w:p>
    <w:p>
      <w:pPr>
        <w:spacing w:before="120" w:after="0" w:line="408" w:lineRule="exact"/>
        <w:ind w:left="0" w:right="0" w:firstLine="0"/>
        <w:jc w:val="left"/>
      </w:pPr>
      <w:r>
        <w:rPr/>
        <w:t xml:space="preserve">Section 1 is the intent section, which states the Legislature's intent to expand the discharge planning requirements. Because I am vetoing Section 3, Section 1 no longer aligns with the bill.</w:t>
      </w:r>
    </w:p>
    <w:p>
      <w:pPr>
        <w:spacing w:before="120" w:after="0" w:line="408" w:lineRule="exact"/>
        <w:ind w:left="0" w:right="0" w:firstLine="0"/>
        <w:jc w:val="left"/>
      </w:pPr>
      <w:r>
        <w:rPr/>
        <w:t xml:space="preserve">While I am vetoing Sections 1 and 3, I am directing the Department of Corrections to provide a 90-day supply of necessary prescribed medications upon release, as clinically appropriate, through a combination of a 30-day supply of in-hand medications and a 60-day supply of prescriptions. This provision is included in Section 3 of the bill and the department can implement this as part of its Health Services program.</w:t>
      </w:r>
    </w:p>
    <w:p>
      <w:pPr>
        <w:spacing w:before="120" w:after="0" w:line="408" w:lineRule="exact"/>
        <w:ind w:left="0" w:right="0" w:firstLine="0"/>
        <w:jc w:val="left"/>
      </w:pPr>
      <w:r>
        <w:rPr/>
        <w:t xml:space="preserve">For these reasons I have vetoed Sections 1 and 3 of Second Substitute Senate Bill No. 5134.</w:t>
      </w:r>
    </w:p>
    <w:p>
      <w:pPr>
        <w:spacing w:before="120" w:after="0" w:line="408" w:lineRule="exact"/>
        <w:ind w:left="0" w:right="0" w:firstLine="0"/>
        <w:jc w:val="left"/>
      </w:pPr>
      <w:r>
        <w:rPr/>
        <w:t xml:space="preserve">With the exception of Sections 1 and 3, Second Substitute Senate Bill No. 5134 is approved."</w:t>
      </w:r>
    </w:p>
    <w:sectPr>
      <w:pgNumType w:start="1"/>
      <w:footerReference xmlns:r="http://schemas.openxmlformats.org/officeDocument/2006/relationships" r:id="R62b0848f0012443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7c53d1f5a4b77" /><Relationship Type="http://schemas.openxmlformats.org/officeDocument/2006/relationships/footer" Target="/word/footer1.xml" Id="R62b0848f00124435" /></Relationships>
</file>